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Blank"/>
        <w:tblpPr w:leftFromText="181" w:rightFromText="181" w:vertAnchor="page" w:horzAnchor="page" w:tblpX="426" w:tblpY="4839"/>
        <w:tblW w:w="11057" w:type="dxa"/>
        <w:tblLayout w:type="fixed"/>
        <w:tblLook w:val="04A0" w:firstRow="1" w:lastRow="0" w:firstColumn="1" w:lastColumn="0" w:noHBand="0" w:noVBand="1"/>
      </w:tblPr>
      <w:tblGrid>
        <w:gridCol w:w="11057"/>
      </w:tblGrid>
      <w:tr w:rsidR="004F57C2" w14:paraId="44CC766D" w14:textId="77777777" w:rsidTr="00E279F1">
        <w:trPr>
          <w:cantSplit/>
          <w:trHeight w:hRule="exact" w:val="11576"/>
        </w:trPr>
        <w:tc>
          <w:tcPr>
            <w:tcW w:w="11057" w:type="dxa"/>
          </w:tcPr>
          <w:p w14:paraId="3DC4DFDA" w14:textId="234C08E6" w:rsidR="004F57C2" w:rsidRDefault="004F57C2" w:rsidP="00CC6183">
            <w:pPr>
              <w:pStyle w:val="NoSpacing"/>
            </w:pPr>
          </w:p>
        </w:tc>
      </w:tr>
    </w:tbl>
    <w:p w14:paraId="72E81155" w14:textId="77777777" w:rsidR="004F78E5" w:rsidRDefault="004F78E5" w:rsidP="004F57C2">
      <w:pPr>
        <w:pStyle w:val="CoverDetails"/>
        <w:framePr w:wrap="around"/>
      </w:pPr>
    </w:p>
    <w:sdt>
      <w:sdtPr>
        <w:id w:val="-1882475711"/>
        <w:lock w:val="contentLocked"/>
        <w:placeholder>
          <w:docPart w:val="3098CCFC1C084B27A0835ABE43BA481F"/>
        </w:placeholder>
        <w:group/>
      </w:sdtPr>
      <w:sdtEndPr/>
      <w:sdtContent>
        <w:p w14:paraId="4BEDCCA2" w14:textId="77777777" w:rsidR="0081673B" w:rsidRDefault="0081673B" w:rsidP="0081673B">
          <w:pPr>
            <w:pStyle w:val="CoverLogo"/>
            <w:framePr w:wrap="around"/>
          </w:pPr>
          <w:r w:rsidRPr="0081673B">
            <w:rPr>
              <w:noProof/>
            </w:rPr>
            <w:drawing>
              <wp:inline distT="0" distB="0" distL="0" distR="0" wp14:anchorId="7CDB8663" wp14:editId="02DD3C96">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7CD04C46" w14:textId="77777777" w:rsidR="000A6BFB" w:rsidRPr="00A67A14" w:rsidRDefault="00DF2B3A" w:rsidP="0097517F">
      <w:pPr>
        <w:pStyle w:val="Title"/>
        <w:framePr w:wrap="around"/>
      </w:pPr>
      <w:sdt>
        <w:sdtPr>
          <w:alias w:val="Title"/>
          <w:tag w:val=""/>
          <w:id w:val="-1092312180"/>
          <w:lock w:val="sdtLocked"/>
          <w:placeholder>
            <w:docPart w:val="09DAE6EF9AD54A85867E09F2ED73B90F"/>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3A1B04" w:rsidRPr="0097517F">
            <w:rPr>
              <w:highlight w:val="lightGray"/>
            </w:rPr>
            <w:t>[Document title]</w:t>
          </w:r>
          <w:r w:rsidR="003A1B04" w:rsidRPr="0097517F">
            <w:rPr>
              <w:highlight w:val="lightGray"/>
            </w:rPr>
            <w:br/>
            <w:t>[five or six words]</w:t>
          </w:r>
        </w:sdtContent>
      </w:sdt>
    </w:p>
    <w:p w14:paraId="5E0B0912" w14:textId="067A77A1" w:rsidR="005705E9" w:rsidRPr="005705E9" w:rsidRDefault="003A1B04" w:rsidP="00DF38A5">
      <w:r>
        <w:rPr>
          <w:noProof/>
        </w:rPr>
        <w:drawing>
          <wp:anchor distT="0" distB="0" distL="114300" distR="114300" simplePos="0" relativeHeight="251658243" behindDoc="0" locked="0" layoutInCell="1" allowOverlap="1" wp14:anchorId="29F37ABB" wp14:editId="1D2DF63C">
            <wp:simplePos x="0" y="0"/>
            <wp:positionH relativeFrom="page">
              <wp:align>left</wp:align>
            </wp:positionH>
            <wp:positionV relativeFrom="page">
              <wp:align>top</wp:align>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7EA41" w14:textId="77777777" w:rsidR="00132002" w:rsidRDefault="00132002">
      <w:pPr>
        <w:spacing w:after="160"/>
      </w:pPr>
    </w:p>
    <w:p w14:paraId="75929CF9" w14:textId="77777777" w:rsidR="007B29C4" w:rsidRDefault="007B29C4">
      <w:pPr>
        <w:spacing w:after="160"/>
        <w:sectPr w:rsidR="007B29C4" w:rsidSect="007932B9">
          <w:headerReference w:type="even" r:id="rId13"/>
          <w:headerReference w:type="default" r:id="rId14"/>
          <w:footerReference w:type="even" r:id="rId15"/>
          <w:footerReference w:type="default" r:id="rId16"/>
          <w:footerReference w:type="first" r:id="rId17"/>
          <w:footnotePr>
            <w:numFmt w:val="chicago"/>
            <w:numRestart w:val="eachPage"/>
          </w:footnotePr>
          <w:pgSz w:w="11906" w:h="16838" w:code="9"/>
          <w:pgMar w:top="1418" w:right="1418" w:bottom="1418" w:left="1418" w:header="1134" w:footer="340" w:gutter="0"/>
          <w:cols w:space="708"/>
          <w:titlePg/>
          <w:docGrid w:linePitch="360"/>
        </w:sectPr>
      </w:pPr>
    </w:p>
    <w:p w14:paraId="78722798" w14:textId="49AF8EEC" w:rsidR="00DB680C" w:rsidRPr="00DB680C" w:rsidRDefault="00DB680C" w:rsidP="00DB680C">
      <w:pPr>
        <w:pStyle w:val="BG"/>
        <w:framePr w:wrap="around"/>
      </w:pPr>
    </w:p>
    <w:p w14:paraId="0459CC06" w14:textId="4BDDFBD5" w:rsidR="0083349E" w:rsidRDefault="0083349E" w:rsidP="0083349E">
      <w:pPr>
        <w:sectPr w:rsidR="0083349E" w:rsidSect="0076044F">
          <w:footerReference w:type="even" r:id="rId18"/>
          <w:footerReference w:type="default" r:id="rId19"/>
          <w:footerReference w:type="first" r:id="rId20"/>
          <w:footnotePr>
            <w:numFmt w:val="chicago"/>
            <w:numRestart w:val="eachPage"/>
          </w:footnotePr>
          <w:type w:val="continuous"/>
          <w:pgSz w:w="11906" w:h="16838" w:code="9"/>
          <w:pgMar w:top="1418" w:right="1418" w:bottom="1418" w:left="1418" w:header="1134" w:footer="340" w:gutter="0"/>
          <w:cols w:space="708"/>
          <w:docGrid w:linePitch="360"/>
        </w:sectPr>
      </w:pPr>
    </w:p>
    <w:p w14:paraId="03F4AC12" w14:textId="77777777" w:rsidR="00043249" w:rsidRDefault="007C3EAF" w:rsidP="00AB2955">
      <w:pPr>
        <w:pStyle w:val="Heading1"/>
      </w:pPr>
      <w:bookmarkStart w:id="0" w:name="_Toc201048152"/>
      <w:r>
        <w:lastRenderedPageBreak/>
        <w:t>Economic</w:t>
      </w:r>
      <w:bookmarkEnd w:id="0"/>
    </w:p>
    <w:p w14:paraId="5C79D041" w14:textId="77777777" w:rsidR="007C3EAF" w:rsidRDefault="007C3EAF" w:rsidP="007C3EAF">
      <w:pPr>
        <w:pStyle w:val="Introduction"/>
        <w:rPr>
          <w:b/>
          <w:bCs/>
        </w:rPr>
      </w:pPr>
      <w:r w:rsidRPr="007C3EAF">
        <w:t xml:space="preserve">This chapter provides an overview of the potential economic impacts associated with the construction, operation and decommissioning of the Project. This chapter is based on </w:t>
      </w:r>
      <w:r w:rsidRPr="007C3EAF">
        <w:rPr>
          <w:b/>
          <w:bCs/>
        </w:rPr>
        <w:t>Technical Report G: Economic Impact Assessment.</w:t>
      </w:r>
    </w:p>
    <w:p w14:paraId="483743C6" w14:textId="77777777" w:rsidR="007C3EAF" w:rsidRDefault="007C3EAF" w:rsidP="007C3EAF">
      <w:r>
        <w:t>Economic impacts are assessed through both quantitative economy-wide analysis and qualitative assessment of impacts on businesses at the industry level. These two scales of assessment provide complementary reviews of the change in key economy-wide variables such as Gross Domestic Product (GDP), employment and welfare, as well as further detail of impacts the Project may have on businesses operating in the study area, at an industry level.</w:t>
      </w:r>
    </w:p>
    <w:p w14:paraId="0B2FEDEE" w14:textId="195A01AD" w:rsidR="007C3EAF" w:rsidRDefault="007C3EAF" w:rsidP="007C3EAF">
      <w:r>
        <w:t>The Project has the potential to have economic impacts during construction, operation and decommissioning.</w:t>
      </w:r>
    </w:p>
    <w:p w14:paraId="48C7859F" w14:textId="77777777" w:rsidR="007C3EAF" w:rsidRDefault="007C3EAF" w:rsidP="007C3EAF">
      <w:pPr>
        <w:pStyle w:val="Heading2"/>
      </w:pPr>
      <w:bookmarkStart w:id="1" w:name="_Toc201048153"/>
      <w:r>
        <w:t>Evaluation objective</w:t>
      </w:r>
      <w:bookmarkEnd w:id="1"/>
    </w:p>
    <w:p w14:paraId="295E0D83" w14:textId="77777777" w:rsidR="007C3EAF" w:rsidRDefault="007C3EAF" w:rsidP="007C3EAF">
      <w:r w:rsidRPr="007C3EAF">
        <w:t>The scoping requirements identify the following evaluation objective relevant to the economic impact assessment:</w:t>
      </w:r>
    </w:p>
    <w:p w14:paraId="183931E2" w14:textId="77777777" w:rsidR="007C3EAF" w:rsidRPr="0016178D" w:rsidRDefault="007C3EAF" w:rsidP="001D00C4">
      <w:pPr>
        <w:pStyle w:val="Call-outboxHeading"/>
        <w:framePr w:w="8991" w:h="1235" w:hRule="exact" w:wrap="around" w:y="3"/>
        <w:rPr>
          <w:color w:val="000000" w:themeColor="text1"/>
        </w:rPr>
      </w:pPr>
      <w:r w:rsidRPr="0016178D">
        <w:rPr>
          <w:color w:val="000000" w:themeColor="text1"/>
        </w:rPr>
        <w:t>Evaluation objective</w:t>
      </w:r>
    </w:p>
    <w:p w14:paraId="653B7607" w14:textId="77777777" w:rsidR="007C3EAF" w:rsidRPr="007C3EAF" w:rsidRDefault="007C3EAF" w:rsidP="001D00C4">
      <w:pPr>
        <w:pStyle w:val="Call-outbox"/>
        <w:framePr w:w="8991" w:h="1235" w:hRule="exact" w:wrap="around" w:y="3"/>
        <w:spacing w:after="120"/>
      </w:pPr>
      <w:r>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p>
    <w:p w14:paraId="352BDCF6" w14:textId="77777777" w:rsidR="001D67C9" w:rsidRDefault="001D67C9" w:rsidP="001D00C4">
      <w:pPr>
        <w:spacing w:before="360"/>
      </w:pPr>
      <w:r>
        <w:t>In response to this evaluation objective, the economic impacts of the Project have been assessed, and measures to avoid, minimise or manage potential impacts have been identified. These measures are discussed throughout this chapter and have informed the development of Environmental Performance Requirements (EPRs). EPRs set out the environmental outcomes to be achieved through the implementation of measures during construction, operation and decommissioning to avoid, minimise and manage identified impacts. Cumulative impacts associated with relevant future projects were also assessed.</w:t>
      </w:r>
    </w:p>
    <w:p w14:paraId="6EC88ADA" w14:textId="77777777" w:rsidR="001D67C9" w:rsidRDefault="001D67C9" w:rsidP="001D67C9">
      <w:r>
        <w:t xml:space="preserve">Further information on how the Project has been designed to avoid and minimise impacts is provided in </w:t>
      </w:r>
      <w:r w:rsidRPr="001D67C9">
        <w:rPr>
          <w:b/>
          <w:bCs/>
        </w:rPr>
        <w:t>Chapter 5: Project development</w:t>
      </w:r>
      <w:r>
        <w:t xml:space="preserve"> and </w:t>
      </w:r>
      <w:r w:rsidRPr="001D67C9">
        <w:rPr>
          <w:b/>
          <w:bCs/>
        </w:rPr>
        <w:t>Chapter 6: Project description</w:t>
      </w:r>
      <w:r>
        <w:t>.</w:t>
      </w:r>
    </w:p>
    <w:p w14:paraId="1E83C3F6" w14:textId="77777777" w:rsidR="001D67C9" w:rsidRDefault="001D67C9" w:rsidP="001D67C9">
      <w:pPr>
        <w:sectPr w:rsidR="001D67C9" w:rsidSect="003A1B04">
          <w:footerReference w:type="even" r:id="rId21"/>
          <w:footerReference w:type="default" r:id="rId22"/>
          <w:footerReference w:type="first" r:id="rId23"/>
          <w:footnotePr>
            <w:numRestart w:val="eachPage"/>
          </w:footnotePr>
          <w:pgSz w:w="11906" w:h="16838" w:code="9"/>
          <w:pgMar w:top="1418" w:right="1418" w:bottom="1418" w:left="1418" w:header="1134" w:footer="340" w:gutter="0"/>
          <w:pgNumType w:start="1" w:chapStyle="1"/>
          <w:cols w:space="708"/>
          <w:docGrid w:linePitch="360"/>
        </w:sectPr>
      </w:pPr>
      <w:r>
        <w:t xml:space="preserve">Other aspects covered in the Environment Effects Statement (EES) evaluation objective and relevant to the economic impact assessment are addressed in the following EES chapters: </w:t>
      </w:r>
    </w:p>
    <w:p w14:paraId="40016419" w14:textId="77777777" w:rsidR="001D67C9" w:rsidRPr="0041705A" w:rsidRDefault="001D67C9" w:rsidP="001D67C9">
      <w:pPr>
        <w:pStyle w:val="ListBullet"/>
        <w:rPr>
          <w:b/>
          <w:bCs/>
        </w:rPr>
      </w:pPr>
      <w:r w:rsidRPr="0041705A">
        <w:rPr>
          <w:b/>
          <w:bCs/>
        </w:rPr>
        <w:t>Chapter 11: Landscape and visual</w:t>
      </w:r>
    </w:p>
    <w:p w14:paraId="1069E19C" w14:textId="77777777" w:rsidR="001D67C9" w:rsidRPr="0041705A" w:rsidRDefault="001D67C9" w:rsidP="001D67C9">
      <w:pPr>
        <w:pStyle w:val="ListBullet"/>
        <w:rPr>
          <w:b/>
          <w:bCs/>
        </w:rPr>
      </w:pPr>
      <w:r w:rsidRPr="0041705A">
        <w:rPr>
          <w:b/>
          <w:bCs/>
        </w:rPr>
        <w:t>Chapter 12: Land use and planning</w:t>
      </w:r>
    </w:p>
    <w:p w14:paraId="4900DEEF" w14:textId="77777777" w:rsidR="001D67C9" w:rsidRPr="0041705A" w:rsidRDefault="001D67C9" w:rsidP="001D67C9">
      <w:pPr>
        <w:pStyle w:val="ListBullet"/>
        <w:rPr>
          <w:b/>
          <w:bCs/>
        </w:rPr>
      </w:pPr>
      <w:r w:rsidRPr="0041705A">
        <w:rPr>
          <w:b/>
          <w:bCs/>
        </w:rPr>
        <w:t>Chapter 15: Agriculture and forestry</w:t>
      </w:r>
    </w:p>
    <w:p w14:paraId="417558AE" w14:textId="77777777" w:rsidR="001D67C9" w:rsidRPr="0041705A" w:rsidRDefault="001D67C9" w:rsidP="001D67C9">
      <w:pPr>
        <w:pStyle w:val="ListBullet"/>
        <w:rPr>
          <w:b/>
          <w:bCs/>
        </w:rPr>
      </w:pPr>
      <w:r w:rsidRPr="0041705A">
        <w:rPr>
          <w:b/>
          <w:bCs/>
        </w:rPr>
        <w:t>Chapter 16: Aviation</w:t>
      </w:r>
    </w:p>
    <w:p w14:paraId="4DD7ED97" w14:textId="77777777" w:rsidR="001D67C9" w:rsidRPr="0041705A" w:rsidRDefault="001D67C9" w:rsidP="001D67C9">
      <w:pPr>
        <w:pStyle w:val="ListBullet"/>
        <w:rPr>
          <w:b/>
          <w:bCs/>
        </w:rPr>
      </w:pPr>
      <w:r w:rsidRPr="0041705A">
        <w:rPr>
          <w:b/>
          <w:bCs/>
        </w:rPr>
        <w:t>Chapter 17: EMI and EMF</w:t>
      </w:r>
    </w:p>
    <w:p w14:paraId="6FC2A6A6" w14:textId="77777777" w:rsidR="001D67C9" w:rsidRPr="0041705A" w:rsidRDefault="001D67C9" w:rsidP="001D67C9">
      <w:pPr>
        <w:pStyle w:val="ListBullet"/>
        <w:rPr>
          <w:b/>
          <w:bCs/>
        </w:rPr>
      </w:pPr>
      <w:r w:rsidRPr="0041705A">
        <w:rPr>
          <w:b/>
          <w:bCs/>
        </w:rPr>
        <w:br w:type="column"/>
      </w:r>
      <w:r w:rsidRPr="0041705A">
        <w:rPr>
          <w:b/>
          <w:bCs/>
        </w:rPr>
        <w:t>Chapter 18: Air quality</w:t>
      </w:r>
    </w:p>
    <w:p w14:paraId="1980249E" w14:textId="77777777" w:rsidR="001D67C9" w:rsidRPr="0041705A" w:rsidRDefault="001D67C9" w:rsidP="001D67C9">
      <w:pPr>
        <w:pStyle w:val="ListBullet"/>
        <w:rPr>
          <w:b/>
          <w:bCs/>
        </w:rPr>
      </w:pPr>
      <w:r w:rsidRPr="0041705A">
        <w:rPr>
          <w:b/>
          <w:bCs/>
        </w:rPr>
        <w:t>Chapter 19: Noise and vibration</w:t>
      </w:r>
    </w:p>
    <w:p w14:paraId="6409940B" w14:textId="77777777" w:rsidR="001D67C9" w:rsidRPr="0041705A" w:rsidRDefault="001D67C9" w:rsidP="001D67C9">
      <w:pPr>
        <w:pStyle w:val="ListBullet"/>
        <w:rPr>
          <w:b/>
          <w:bCs/>
        </w:rPr>
      </w:pPr>
      <w:r w:rsidRPr="0041705A">
        <w:rPr>
          <w:b/>
          <w:bCs/>
        </w:rPr>
        <w:t>Chapter 20: Transport</w:t>
      </w:r>
    </w:p>
    <w:p w14:paraId="5E81513F" w14:textId="77777777" w:rsidR="001D67C9" w:rsidRPr="0041705A" w:rsidRDefault="001D67C9" w:rsidP="001D67C9">
      <w:pPr>
        <w:pStyle w:val="ListBullet"/>
        <w:rPr>
          <w:b/>
          <w:bCs/>
        </w:rPr>
      </w:pPr>
      <w:r w:rsidRPr="0041705A">
        <w:rPr>
          <w:b/>
          <w:bCs/>
        </w:rPr>
        <w:t>Chapter 21: Social</w:t>
      </w:r>
    </w:p>
    <w:p w14:paraId="2216C344" w14:textId="77777777" w:rsidR="001D67C9" w:rsidRDefault="001D67C9" w:rsidP="001D67C9">
      <w:pPr>
        <w:pStyle w:val="ListBullet"/>
        <w:sectPr w:rsidR="001D67C9" w:rsidSect="001D67C9">
          <w:footnotePr>
            <w:numRestart w:val="eachPage"/>
          </w:footnotePr>
          <w:type w:val="continuous"/>
          <w:pgSz w:w="11906" w:h="16838" w:code="9"/>
          <w:pgMar w:top="1418" w:right="1418" w:bottom="1418" w:left="1418" w:header="1134" w:footer="340" w:gutter="0"/>
          <w:cols w:num="2" w:space="708"/>
          <w:docGrid w:linePitch="360"/>
        </w:sectPr>
      </w:pPr>
      <w:r w:rsidRPr="0041705A">
        <w:rPr>
          <w:b/>
          <w:bCs/>
        </w:rPr>
        <w:t>Chapter 26: Greenhouse gas</w:t>
      </w:r>
      <w:r>
        <w:t>.</w:t>
      </w:r>
    </w:p>
    <w:p w14:paraId="5E4DD853" w14:textId="77777777" w:rsidR="001D67C9" w:rsidRDefault="001D67C9" w:rsidP="001D67C9">
      <w:pPr>
        <w:pStyle w:val="Heading2"/>
      </w:pPr>
      <w:bookmarkStart w:id="2" w:name="_Toc201048154"/>
      <w:r>
        <w:lastRenderedPageBreak/>
        <w:t>Method</w:t>
      </w:r>
      <w:bookmarkEnd w:id="2"/>
    </w:p>
    <w:p w14:paraId="6B70D313" w14:textId="77777777" w:rsidR="001D67C9" w:rsidRDefault="001D67C9" w:rsidP="001D67C9">
      <w:r w:rsidRPr="001D67C9">
        <w:t xml:space="preserve">This section summarises the method adopted in </w:t>
      </w:r>
      <w:r w:rsidRPr="001D67C9">
        <w:rPr>
          <w:b/>
          <w:bCs/>
        </w:rPr>
        <w:t>Technical Report G: Economic Impact Assessment</w:t>
      </w:r>
      <w:r w:rsidRPr="001D67C9">
        <w:t xml:space="preserve">, which was informed by </w:t>
      </w:r>
      <w:r w:rsidRPr="001D67C9">
        <w:rPr>
          <w:b/>
          <w:bCs/>
        </w:rPr>
        <w:t>Chapter 4: EES assessment framework and approach</w:t>
      </w:r>
      <w:r w:rsidRPr="001D67C9">
        <w:t>. The key steps in assessing the economic impacts included:</w:t>
      </w:r>
    </w:p>
    <w:p w14:paraId="625E6175" w14:textId="77777777" w:rsidR="0041705A" w:rsidRDefault="0041705A" w:rsidP="00791287">
      <w:pPr>
        <w:pStyle w:val="Call-outboxHeadingwithicon"/>
        <w:framePr w:w="3625" w:h="2961" w:hRule="exact" w:wrap="around" w:hAnchor="page" w:x="6819" w:y="21"/>
      </w:pPr>
      <w:r>
        <w:br/>
        <w:t>Statistical Areas</w:t>
      </w:r>
    </w:p>
    <w:p w14:paraId="59CDB286" w14:textId="77777777" w:rsidR="0041705A" w:rsidRPr="00A16792" w:rsidRDefault="0041705A" w:rsidP="00791287">
      <w:pPr>
        <w:pStyle w:val="Call-outbox"/>
        <w:framePr w:w="3625" w:h="2961" w:hRule="exact" w:wrap="around" w:hAnchor="page" w:x="6819" w:y="21"/>
      </w:pPr>
      <w:r w:rsidRPr="00A16792">
        <w:t>The Australian Bureau of Statistics (ABS) collates economic, social and other demographic data at various levels of granularity called Statistical Areas. Statistical Area Level 3 (SA3) provides a standardised regional breakup of Australia.</w:t>
      </w:r>
    </w:p>
    <w:p w14:paraId="4346A389" w14:textId="77777777" w:rsidR="001D67C9" w:rsidRDefault="001D67C9" w:rsidP="00791287">
      <w:pPr>
        <w:pStyle w:val="ListBullet"/>
        <w:ind w:right="3798"/>
      </w:pPr>
      <w:r>
        <w:t xml:space="preserve">Defining a study area appropriate for the economic impact assessment as presented in </w:t>
      </w:r>
      <w:r w:rsidR="0041705A">
        <w:fldChar w:fldCharType="begin"/>
      </w:r>
      <w:r w:rsidR="0041705A">
        <w:instrText xml:space="preserve"> REF _Ref197693652 \h </w:instrText>
      </w:r>
      <w:r w:rsidR="0041705A">
        <w:fldChar w:fldCharType="separate"/>
      </w:r>
      <w:r w:rsidR="0041705A">
        <w:t xml:space="preserve">Figure </w:t>
      </w:r>
      <w:r w:rsidR="0041705A">
        <w:rPr>
          <w:noProof/>
        </w:rPr>
        <w:t>14</w:t>
      </w:r>
      <w:r w:rsidR="0041705A">
        <w:t>.</w:t>
      </w:r>
      <w:r w:rsidR="0041705A">
        <w:rPr>
          <w:noProof/>
        </w:rPr>
        <w:t>1</w:t>
      </w:r>
      <w:r w:rsidR="0041705A">
        <w:fldChar w:fldCharType="end"/>
      </w:r>
      <w:r>
        <w:t>. This encompasses the five Statistical Area 3 (SA3) regions traversed by the Project: Grampians, Maryborough-Pyrenees, Ballarat, Creswick-Daylesford-Ballan and Melton-Bacchus Marsh.</w:t>
      </w:r>
    </w:p>
    <w:p w14:paraId="07FC84FB" w14:textId="77777777" w:rsidR="001D67C9" w:rsidRDefault="001D67C9" w:rsidP="00791287">
      <w:pPr>
        <w:pStyle w:val="ListBullet"/>
        <w:ind w:right="3798"/>
      </w:pPr>
      <w:r>
        <w:t>Reviewing applicable Commonwealth and Victorian legislation, and relevant electricity market and renewable energy-related plans and reports.</w:t>
      </w:r>
    </w:p>
    <w:p w14:paraId="7D864C39" w14:textId="77777777" w:rsidR="001D67C9" w:rsidRDefault="001D67C9" w:rsidP="00791287">
      <w:pPr>
        <w:pStyle w:val="ListBullet"/>
        <w:ind w:right="3798"/>
      </w:pPr>
      <w:r>
        <w:t>Conducting a desktop review to determine the existing economic conditions including:</w:t>
      </w:r>
    </w:p>
    <w:p w14:paraId="24272C02" w14:textId="77777777" w:rsidR="001D67C9" w:rsidRDefault="001D67C9" w:rsidP="001D67C9">
      <w:pPr>
        <w:pStyle w:val="ListBullet2"/>
      </w:pPr>
      <w:r>
        <w:t>The economic profile of the study area including working age population, employment and unemployment, income and expenses, industries (using the Australia and New Zealand Standard Industrial Classification (ANZSIC) categories), and gross value added (which represents the economic value generated in an area).</w:t>
      </w:r>
    </w:p>
    <w:p w14:paraId="0DD0019A" w14:textId="77777777" w:rsidR="001D67C9" w:rsidRDefault="001D67C9" w:rsidP="001D67C9">
      <w:pPr>
        <w:pStyle w:val="ListBullet2"/>
      </w:pPr>
      <w:r>
        <w:t>Existing and expected renewable energy projects in the study area.</w:t>
      </w:r>
    </w:p>
    <w:p w14:paraId="7FDA1F3F" w14:textId="77777777" w:rsidR="001D67C9" w:rsidRDefault="001D67C9" w:rsidP="001D67C9">
      <w:pPr>
        <w:pStyle w:val="ListBullet"/>
      </w:pPr>
      <w:r>
        <w:t>Consideration of key issues identified during stakeholder consultation conducted by AusNet.</w:t>
      </w:r>
    </w:p>
    <w:p w14:paraId="6DEDBDD4" w14:textId="77777777" w:rsidR="001D67C9" w:rsidRDefault="001D67C9" w:rsidP="001D67C9">
      <w:pPr>
        <w:pStyle w:val="ListBullet"/>
      </w:pPr>
      <w:r>
        <w:t xml:space="preserve">Using a risk-based approach to identify potential economic impacts for investigation within the technical report. </w:t>
      </w:r>
    </w:p>
    <w:p w14:paraId="5498574A" w14:textId="77777777" w:rsidR="00791287" w:rsidRDefault="00791287" w:rsidP="00A071BB">
      <w:pPr>
        <w:pStyle w:val="Call-outboxHeadingwithicon"/>
        <w:framePr w:w="3605" w:h="4519" w:hRule="exact" w:wrap="around" w:hAnchor="page" w:x="6819" w:yAlign="top"/>
      </w:pPr>
      <w:r>
        <w:br/>
        <w:t>Computable general equilibrium (CGE) modelling</w:t>
      </w:r>
    </w:p>
    <w:p w14:paraId="735993A9" w14:textId="4D50226D" w:rsidR="00791287" w:rsidRPr="00A16792" w:rsidRDefault="00791287" w:rsidP="00A071BB">
      <w:pPr>
        <w:pStyle w:val="Call-outbox"/>
        <w:framePr w:w="3605" w:h="4519" w:hRule="exact" w:wrap="around" w:hAnchor="page" w:x="6819" w:yAlign="top"/>
      </w:pPr>
      <w:r w:rsidRPr="00A16792">
        <w:t>Provides information about macroeconomic and distributional impacts of large projects (Infrastructure Australia</w:t>
      </w:r>
      <w:r w:rsidR="003933BF">
        <w:t>,</w:t>
      </w:r>
      <w:r w:rsidRPr="00A16792">
        <w:t xml:space="preserve"> 2021), and whether there is a net improvement in welfare. It is the preferred framework for determining macroeconomic impacts (both positive and negative) of large, multi year projects throughout the economy, and is widely recognised across all levels of government in Australia.</w:t>
      </w:r>
    </w:p>
    <w:p w14:paraId="4E82BC2B" w14:textId="144AF584" w:rsidR="001D67C9" w:rsidRDefault="001D67C9" w:rsidP="00791287">
      <w:pPr>
        <w:pStyle w:val="ListBullet"/>
        <w:ind w:right="3798"/>
      </w:pPr>
      <w:r>
        <w:t xml:space="preserve">Conducting an economy-wide analysis (see </w:t>
      </w:r>
      <w:r w:rsidR="00AF45F7">
        <w:t xml:space="preserve">Section </w:t>
      </w:r>
      <w:r w:rsidR="00AF45F7">
        <w:fldChar w:fldCharType="begin"/>
      </w:r>
      <w:r w:rsidR="00AF45F7">
        <w:instrText xml:space="preserve"> REF _Ref197693829 \r \h </w:instrText>
      </w:r>
      <w:r w:rsidR="00AF45F7">
        <w:fldChar w:fldCharType="separate"/>
      </w:r>
      <w:r w:rsidR="008D65B1">
        <w:t>14.4</w:t>
      </w:r>
      <w:r w:rsidR="00AF45F7">
        <w:fldChar w:fldCharType="end"/>
      </w:r>
      <w:r>
        <w:t>) by identifying and assessing the potential direct and flow-on macroeconomic impacts using computable general equilibrium (CGE) modelling, to assess impacts associated with employment and industry at local, regional and national scales. The CGE model applied is the Victoria University Regional Model; a multi-regional model of Australia’s eight regional economies — the six states and two territories. Key inputs to the CGE modelling were:</w:t>
      </w:r>
    </w:p>
    <w:p w14:paraId="0879AE8B" w14:textId="77777777" w:rsidR="001D67C9" w:rsidRDefault="001D67C9" w:rsidP="00791287">
      <w:pPr>
        <w:pStyle w:val="ListBullet2"/>
        <w:ind w:right="3798"/>
      </w:pPr>
      <w:r>
        <w:t xml:space="preserve">Development and construction expenditure estimated by AusNet and assumed to occur from 2024 (including early works and procurement of long-lead items) to 2028. </w:t>
      </w:r>
    </w:p>
    <w:p w14:paraId="3F29B3B5" w14:textId="17DD4D2D" w:rsidR="001D67C9" w:rsidRDefault="001D67C9" w:rsidP="00791287">
      <w:pPr>
        <w:pStyle w:val="ListBullet2"/>
        <w:ind w:right="3798"/>
      </w:pPr>
      <w:r>
        <w:t>Forecasted gross market benefits of the Project, as modelled by</w:t>
      </w:r>
      <w:r w:rsidR="00A83B63" w:rsidRPr="00A83B63">
        <w:t xml:space="preserve"> Ernst &amp; Youn</w:t>
      </w:r>
      <w:r w:rsidR="00A83B63">
        <w:t>g</w:t>
      </w:r>
      <w:r>
        <w:t xml:space="preserve"> </w:t>
      </w:r>
      <w:r w:rsidR="00A83B63">
        <w:t>(</w:t>
      </w:r>
      <w:r>
        <w:t>EY</w:t>
      </w:r>
      <w:r w:rsidR="00A83B63">
        <w:t xml:space="preserve">, </w:t>
      </w:r>
      <w:r>
        <w:t xml:space="preserve">2024) on behalf of AEMO for the period 2024 to 2050. </w:t>
      </w:r>
    </w:p>
    <w:p w14:paraId="3DDFFCD9" w14:textId="77777777" w:rsidR="001D67C9" w:rsidRPr="001D67C9" w:rsidRDefault="001D67C9" w:rsidP="00A071BB">
      <w:pPr>
        <w:pStyle w:val="ListBullet"/>
        <w:keepNext/>
        <w:keepLines/>
        <w:spacing w:before="240"/>
      </w:pPr>
      <w:r w:rsidRPr="001D67C9">
        <w:lastRenderedPageBreak/>
        <w:t>Conducting a business impact analysis (see</w:t>
      </w:r>
      <w:r w:rsidR="00AF45F7">
        <w:t xml:space="preserve"> Section</w:t>
      </w:r>
      <w:r w:rsidRPr="001D67C9">
        <w:t xml:space="preserve"> </w:t>
      </w:r>
      <w:r w:rsidR="00AF45F7">
        <w:fldChar w:fldCharType="begin"/>
      </w:r>
      <w:r w:rsidR="00AF45F7">
        <w:instrText xml:space="preserve"> REF _Ref197693847 \r \h </w:instrText>
      </w:r>
      <w:r w:rsidR="00AF45F7">
        <w:fldChar w:fldCharType="separate"/>
      </w:r>
      <w:r w:rsidR="00AF45F7">
        <w:t>14.5</w:t>
      </w:r>
      <w:r w:rsidR="00AF45F7">
        <w:fldChar w:fldCharType="end"/>
      </w:r>
      <w:r w:rsidRPr="001D67C9">
        <w:t xml:space="preserve">) by identifying and assessing potential economic impacts of the Project on non-agricultural businesses operating in the study area. The analysis assessed potential impacts on non-agricultural businesses within 2km of the Project and all businesses within the broader study area, at an industry level. Businesses within the ‘Agriculture, Forestry and Fishing’ ANZSIC category were excluded. </w:t>
      </w:r>
      <w:r w:rsidRPr="00ED7193">
        <w:rPr>
          <w:b/>
          <w:bCs/>
        </w:rPr>
        <w:t>Technical Report H: Agriculture and Forestry</w:t>
      </w:r>
      <w:r w:rsidRPr="001D67C9">
        <w:t xml:space="preserve"> has assessed potential impacts on this industry in detail. The business impact analysis considered impacts identified in other technical reports prepared for the Project after mitigation recommended in those reports was implemented. Impacts were evaluated according to the following qualitative ratings, in relation to the extent, magnitude and duration of the impacts:</w:t>
      </w:r>
    </w:p>
    <w:p w14:paraId="54F3DF5B" w14:textId="77777777" w:rsidR="001D67C9" w:rsidRDefault="001D67C9" w:rsidP="001D67C9">
      <w:pPr>
        <w:pStyle w:val="ListBullet2"/>
      </w:pPr>
      <w:r w:rsidRPr="00ED7193">
        <w:rPr>
          <w:b/>
          <w:bCs/>
        </w:rPr>
        <w:t>Negative:</w:t>
      </w:r>
      <w:r>
        <w:t xml:space="preserve"> the combination of individual impacts assessed could result in conditions which have an adverse impact on the industry, and to individual businesses within that sector.</w:t>
      </w:r>
    </w:p>
    <w:p w14:paraId="2ACC8DB0" w14:textId="77777777" w:rsidR="001D67C9" w:rsidRDefault="001D67C9" w:rsidP="001D67C9">
      <w:pPr>
        <w:pStyle w:val="ListBullet2"/>
      </w:pPr>
      <w:r w:rsidRPr="00ED7193">
        <w:rPr>
          <w:b/>
          <w:bCs/>
        </w:rPr>
        <w:t>Neutral:</w:t>
      </w:r>
      <w:r>
        <w:t xml:space="preserve"> the combination of individual impacts assessed is unlikely to disrupt ‘business as usual’ operating conditions for that sector.</w:t>
      </w:r>
    </w:p>
    <w:p w14:paraId="0464546F" w14:textId="77777777" w:rsidR="001D67C9" w:rsidRDefault="001D67C9" w:rsidP="001D67C9">
      <w:pPr>
        <w:pStyle w:val="ListBullet2"/>
      </w:pPr>
      <w:r w:rsidRPr="00ED7193">
        <w:rPr>
          <w:b/>
          <w:bCs/>
        </w:rPr>
        <w:t>Positive:</w:t>
      </w:r>
      <w:r>
        <w:t xml:space="preserve"> the combination of individual impacts assessed could result in conditions which have a positive impact on the industry.</w:t>
      </w:r>
    </w:p>
    <w:p w14:paraId="1807E258" w14:textId="2CFF02A5" w:rsidR="001D67C9" w:rsidRDefault="001D67C9" w:rsidP="001D67C9">
      <w:pPr>
        <w:pStyle w:val="ListBullet"/>
      </w:pPr>
      <w:r>
        <w:t>Identifying other relevant</w:t>
      </w:r>
      <w:r w:rsidR="006063C0">
        <w:t xml:space="preserve"> </w:t>
      </w:r>
      <w:r>
        <w:t xml:space="preserve">future projects that could lead to cumulative impacts (see </w:t>
      </w:r>
      <w:r w:rsidR="00AF45F7">
        <w:t xml:space="preserve">Section </w:t>
      </w:r>
      <w:r w:rsidR="00AF45F7">
        <w:fldChar w:fldCharType="begin"/>
      </w:r>
      <w:r w:rsidR="00AF45F7">
        <w:instrText xml:space="preserve"> REF _Ref197693866 \r \h </w:instrText>
      </w:r>
      <w:r w:rsidR="00AF45F7">
        <w:fldChar w:fldCharType="separate"/>
      </w:r>
      <w:r w:rsidR="00AF45F7">
        <w:t>14.6</w:t>
      </w:r>
      <w:r w:rsidR="00AF45F7">
        <w:fldChar w:fldCharType="end"/>
      </w:r>
      <w:r>
        <w:t xml:space="preserve">) when considered together with the Project (refer to </w:t>
      </w:r>
      <w:r w:rsidRPr="00ED7193">
        <w:rPr>
          <w:b/>
          <w:bCs/>
        </w:rPr>
        <w:t>Chapter 4: EES assessment framework and approach</w:t>
      </w:r>
      <w:r>
        <w:t xml:space="preserve"> for the full cumulative impact assessment method).</w:t>
      </w:r>
    </w:p>
    <w:p w14:paraId="01831068" w14:textId="77777777" w:rsidR="001D67C9" w:rsidRDefault="001D67C9" w:rsidP="001D67C9">
      <w:pPr>
        <w:pStyle w:val="ListBullet"/>
      </w:pPr>
      <w:r>
        <w:t xml:space="preserve">Developing EPRs (see </w:t>
      </w:r>
      <w:r w:rsidR="00AF45F7">
        <w:t xml:space="preserve">Section </w:t>
      </w:r>
      <w:r w:rsidR="00AF45F7">
        <w:fldChar w:fldCharType="begin"/>
      </w:r>
      <w:r w:rsidR="00AF45F7">
        <w:instrText xml:space="preserve"> REF _Ref197693884 \r \h </w:instrText>
      </w:r>
      <w:r w:rsidR="00AF45F7">
        <w:fldChar w:fldCharType="separate"/>
      </w:r>
      <w:r w:rsidR="00AF45F7">
        <w:t>14.7</w:t>
      </w:r>
      <w:r w:rsidR="00AF45F7">
        <w:fldChar w:fldCharType="end"/>
      </w:r>
      <w:r>
        <w:t>)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Principal Contractor’s expertise.</w:t>
      </w:r>
    </w:p>
    <w:p w14:paraId="1C190F5E" w14:textId="77777777" w:rsidR="001D67C9" w:rsidRPr="001D67C9" w:rsidRDefault="001D67C9" w:rsidP="001D67C9">
      <w:pPr>
        <w:pStyle w:val="ListBullet"/>
      </w:pPr>
      <w:r w:rsidRPr="001D67C9">
        <w:t xml:space="preserve">Following application of mitigation measures that would comply with the EPRs, determining residual impacts (see </w:t>
      </w:r>
      <w:r w:rsidR="00AF45F7">
        <w:t xml:space="preserve">Section </w:t>
      </w:r>
      <w:r w:rsidR="00AF45F7">
        <w:fldChar w:fldCharType="begin"/>
      </w:r>
      <w:r w:rsidR="00AF45F7">
        <w:instrText xml:space="preserve"> REF _Ref197693901 \r \h </w:instrText>
      </w:r>
      <w:r w:rsidR="00AF45F7">
        <w:fldChar w:fldCharType="separate"/>
      </w:r>
      <w:r w:rsidR="00AF45F7">
        <w:t>14.8</w:t>
      </w:r>
      <w:r w:rsidR="00AF45F7">
        <w:fldChar w:fldCharType="end"/>
      </w:r>
      <w:r w:rsidRPr="001D67C9">
        <w:t xml:space="preserve">) associated with the construction, operation and decommissioning of the Project, and evaluating their significance. </w:t>
      </w:r>
    </w:p>
    <w:p w14:paraId="086F5BB9" w14:textId="77777777" w:rsidR="00ED7193" w:rsidRDefault="00ED7193" w:rsidP="001D67C9">
      <w:pPr>
        <w:pStyle w:val="ListBullet"/>
        <w:sectPr w:rsidR="00ED7193" w:rsidSect="003A1B04">
          <w:footerReference w:type="even" r:id="rId24"/>
          <w:footerReference w:type="default" r:id="rId25"/>
          <w:footerReference w:type="first" r:id="rId26"/>
          <w:footnotePr>
            <w:numRestart w:val="eachPage"/>
          </w:footnotePr>
          <w:type w:val="continuous"/>
          <w:pgSz w:w="11906" w:h="16838" w:code="9"/>
          <w:pgMar w:top="1418" w:right="1418" w:bottom="1418" w:left="1418" w:header="1134" w:footer="340" w:gutter="0"/>
          <w:pgNumType w:chapStyle="1"/>
          <w:cols w:space="708"/>
          <w:docGrid w:linePitch="360"/>
        </w:sectPr>
      </w:pPr>
    </w:p>
    <w:p w14:paraId="331E8DA1" w14:textId="1DCF8325" w:rsidR="00ED7193" w:rsidRDefault="00F06BC1" w:rsidP="00A071BB">
      <w:pPr>
        <w:spacing w:before="360"/>
        <w:sectPr w:rsidR="00ED7193" w:rsidSect="003A1B04">
          <w:footnotePr>
            <w:numRestart w:val="eachPage"/>
          </w:footnotePr>
          <w:pgSz w:w="16838" w:h="11906" w:orient="landscape" w:code="9"/>
          <w:pgMar w:top="1418" w:right="1418" w:bottom="1418" w:left="1418" w:header="1134" w:footer="340" w:gutter="0"/>
          <w:pgNumType w:chapStyle="1"/>
          <w:cols w:space="708"/>
          <w:docGrid w:linePitch="360"/>
        </w:sectPr>
      </w:pPr>
      <w:r>
        <w:rPr>
          <w:noProof/>
        </w:rPr>
        <w:lastRenderedPageBreak/>
        <mc:AlternateContent>
          <mc:Choice Requires="wps">
            <w:drawing>
              <wp:anchor distT="0" distB="0" distL="114300" distR="114300" simplePos="0" relativeHeight="251658244" behindDoc="0" locked="0" layoutInCell="1" allowOverlap="1" wp14:anchorId="04B5FF58" wp14:editId="0F8574D0">
                <wp:simplePos x="0" y="0"/>
                <wp:positionH relativeFrom="column">
                  <wp:posOffset>52070</wp:posOffset>
                </wp:positionH>
                <wp:positionV relativeFrom="page">
                  <wp:posOffset>6334125</wp:posOffset>
                </wp:positionV>
                <wp:extent cx="1905000" cy="287655"/>
                <wp:effectExtent l="0" t="0" r="0" b="0"/>
                <wp:wrapSquare wrapText="bothSides"/>
                <wp:docPr id="177080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7655"/>
                        </a:xfrm>
                        <a:prstGeom prst="rect">
                          <a:avLst/>
                        </a:prstGeom>
                        <a:solidFill>
                          <a:srgbClr val="FFFFFF"/>
                        </a:solidFill>
                        <a:ln w="9525">
                          <a:noFill/>
                          <a:miter lim="800000"/>
                          <a:headEnd/>
                          <a:tailEnd/>
                        </a:ln>
                      </wps:spPr>
                      <wps:txbx>
                        <w:txbxContent>
                          <w:p w14:paraId="41897F98" w14:textId="7EB4422F" w:rsidR="00F06BC1" w:rsidRDefault="00F06BC1" w:rsidP="00F06BC1">
                            <w:pPr>
                              <w:pStyle w:val="Caption"/>
                              <w:spacing w:before="0"/>
                            </w:pPr>
                            <w:bookmarkStart w:id="3" w:name="_Ref195305475"/>
                            <w:bookmarkStart w:id="4" w:name="_Ref190867917"/>
                            <w:r>
                              <w:t xml:space="preserve">Figure </w:t>
                            </w:r>
                            <w:bookmarkEnd w:id="3"/>
                            <w:r w:rsidR="00517F9B">
                              <w:fldChar w:fldCharType="begin"/>
                            </w:r>
                            <w:r w:rsidR="00517F9B">
                              <w:instrText xml:space="preserve"> STYLEREF 1 \s </w:instrText>
                            </w:r>
                            <w:r w:rsidR="00517F9B">
                              <w:fldChar w:fldCharType="separate"/>
                            </w:r>
                            <w:r w:rsidR="00517F9B">
                              <w:rPr>
                                <w:noProof/>
                              </w:rPr>
                              <w:t>14</w:t>
                            </w:r>
                            <w:r w:rsidR="00517F9B">
                              <w:rPr>
                                <w:noProof/>
                              </w:rPr>
                              <w:fldChar w:fldCharType="end"/>
                            </w:r>
                            <w:r w:rsidR="00517F9B">
                              <w:t>.</w:t>
                            </w:r>
                            <w:fldSimple w:instr=" SEQ Figure \* ARABIC \s 1 ">
                              <w:r w:rsidR="00517F9B">
                                <w:rPr>
                                  <w:noProof/>
                                </w:rPr>
                                <w:t>1</w:t>
                              </w:r>
                            </w:fldSimple>
                            <w:bookmarkEnd w:id="4"/>
                            <w:r w:rsidR="00517F9B">
                              <w:rPr>
                                <w:noProof/>
                              </w:rPr>
                              <w:t xml:space="preserve"> </w:t>
                            </w:r>
                            <w:r w:rsidR="0043225F">
                              <w:t xml:space="preserve">Economic study area </w:t>
                            </w:r>
                          </w:p>
                        </w:txbxContent>
                      </wps:txbx>
                      <wps:bodyPr rot="0" vert="horz" wrap="square" lIns="91440" tIns="72000" rIns="91440" bIns="72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4B5FF58" id="_x0000_t202" coordsize="21600,21600" o:spt="202" path="m,l,21600r21600,l21600,xe">
                <v:stroke joinstyle="miter"/>
                <v:path gradientshapeok="t" o:connecttype="rect"/>
              </v:shapetype>
              <v:shape id="Text Box 2" o:spid="_x0000_s1026" type="#_x0000_t202" style="position:absolute;margin-left:4.1pt;margin-top:498.75pt;width:150pt;height:22.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" stroked="f">
                <v:textbox style="mso-fit-shape-to-text:t" inset=",2mm,,2mm">
                  <w:txbxContent>
                    <w:p w14:paraId="41897F98" w14:textId="7EB4422F" w:rsidR="00F06BC1" w:rsidRDefault="00F06BC1" w:rsidP="00F06BC1">
                      <w:pPr>
                        <w:pStyle w:val="Caption"/>
                        <w:spacing w:before="0"/>
                      </w:pPr>
                      <w:bookmarkStart w:id="5" w:name="_Ref195305475"/>
                      <w:bookmarkStart w:id="6" w:name="_Ref190867917"/>
                      <w:r>
                        <w:t xml:space="preserve">Figure </w:t>
                      </w:r>
                      <w:bookmarkEnd w:id="5"/>
                      <w:r w:rsidR="00517F9B">
                        <w:fldChar w:fldCharType="begin"/>
                      </w:r>
                      <w:r w:rsidR="00517F9B">
                        <w:instrText xml:space="preserve"> STYLEREF 1 \s </w:instrText>
                      </w:r>
                      <w:r w:rsidR="00517F9B">
                        <w:fldChar w:fldCharType="separate"/>
                      </w:r>
                      <w:r w:rsidR="00517F9B">
                        <w:rPr>
                          <w:noProof/>
                        </w:rPr>
                        <w:t>14</w:t>
                      </w:r>
                      <w:r w:rsidR="00517F9B">
                        <w:rPr>
                          <w:noProof/>
                        </w:rPr>
                        <w:fldChar w:fldCharType="end"/>
                      </w:r>
                      <w:r w:rsidR="00517F9B">
                        <w:t>.</w:t>
                      </w:r>
                      <w:fldSimple w:instr=" SEQ Figure \* ARABIC \s 1 ">
                        <w:r w:rsidR="00517F9B">
                          <w:rPr>
                            <w:noProof/>
                          </w:rPr>
                          <w:t>1</w:t>
                        </w:r>
                      </w:fldSimple>
                      <w:bookmarkEnd w:id="6"/>
                      <w:r w:rsidR="00517F9B">
                        <w:rPr>
                          <w:noProof/>
                        </w:rPr>
                        <w:t xml:space="preserve"> </w:t>
                      </w:r>
                      <w:r w:rsidR="0043225F">
                        <w:t xml:space="preserve">Economic study area </w:t>
                      </w:r>
                    </w:p>
                  </w:txbxContent>
                </v:textbox>
                <w10:wrap type="square" anchory="page"/>
              </v:shape>
            </w:pict>
          </mc:Fallback>
        </mc:AlternateContent>
      </w:r>
      <w:r w:rsidR="00ED7193" w:rsidRPr="00A15B4F">
        <w:rPr>
          <w:noProof/>
        </w:rPr>
        <w:drawing>
          <wp:anchor distT="0" distB="0" distL="114300" distR="114300" simplePos="0" relativeHeight="251658240" behindDoc="0" locked="0" layoutInCell="1" allowOverlap="1" wp14:anchorId="56B8CA4A" wp14:editId="3AEF29FC">
            <wp:simplePos x="0" y="0"/>
            <wp:positionH relativeFrom="margin">
              <wp:align>center</wp:align>
            </wp:positionH>
            <wp:positionV relativeFrom="margin">
              <wp:posOffset>-411480</wp:posOffset>
            </wp:positionV>
            <wp:extent cx="8882641" cy="6228000"/>
            <wp:effectExtent l="0" t="0" r="0" b="1905"/>
            <wp:wrapTopAndBottom/>
            <wp:docPr id="18460466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82641" cy="62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2B46" w14:textId="77777777" w:rsidR="001D67C9" w:rsidRDefault="004C4F00" w:rsidP="004C4F00">
      <w:pPr>
        <w:pStyle w:val="Heading2"/>
      </w:pPr>
      <w:bookmarkStart w:id="7" w:name="_Toc201048155"/>
      <w:r>
        <w:lastRenderedPageBreak/>
        <w:t>Existing conditions</w:t>
      </w:r>
      <w:bookmarkEnd w:id="7"/>
    </w:p>
    <w:p w14:paraId="5784ED17" w14:textId="77777777" w:rsidR="004C4F00" w:rsidRDefault="004C4F00" w:rsidP="004C4F00">
      <w:r w:rsidRPr="004C4F00">
        <w:t>This section summarises the existing economic conditions in the study area according to the following key themes:</w:t>
      </w:r>
    </w:p>
    <w:p w14:paraId="2188669F" w14:textId="77777777" w:rsidR="004C4F00" w:rsidRDefault="004C4F00" w:rsidP="004C4F00">
      <w:pPr>
        <w:pStyle w:val="ListBullet"/>
      </w:pPr>
      <w:r>
        <w:t xml:space="preserve">Economic profile of the study area including working age population, employment and unemployment, income and expenses, business profile, and gross value added. </w:t>
      </w:r>
    </w:p>
    <w:p w14:paraId="08D59E62" w14:textId="77777777" w:rsidR="004C4F00" w:rsidRDefault="004C4F00" w:rsidP="004C4F00">
      <w:pPr>
        <w:pStyle w:val="ListBullet"/>
      </w:pPr>
      <w:r>
        <w:t xml:space="preserve">Existing and expected renewable energy generation projects. </w:t>
      </w:r>
    </w:p>
    <w:p w14:paraId="0629C70F" w14:textId="77777777" w:rsidR="004C4F00" w:rsidRDefault="00A16792" w:rsidP="00A16792">
      <w:pPr>
        <w:pStyle w:val="Heading3"/>
      </w:pPr>
      <w:bookmarkStart w:id="8" w:name="_Toc201048156"/>
      <w:r>
        <w:t>Economic profile of the study area</w:t>
      </w:r>
      <w:bookmarkEnd w:id="8"/>
    </w:p>
    <w:p w14:paraId="0BC6396F" w14:textId="77777777" w:rsidR="00A16792" w:rsidRDefault="00A16792" w:rsidP="00A16792">
      <w:r w:rsidRPr="00A16792">
        <w:t>The existing economic conditions have been identified as a point-in-time snapshot of the population, jobs, income levels, industries, gross value added and tourism parameters across the SA3 regions.</w:t>
      </w:r>
    </w:p>
    <w:p w14:paraId="4E960687" w14:textId="77777777" w:rsidR="00A16792" w:rsidRDefault="00A16792" w:rsidP="00A16792">
      <w:pPr>
        <w:pStyle w:val="Heading5"/>
      </w:pPr>
      <w:r>
        <w:t>Working age population</w:t>
      </w:r>
    </w:p>
    <w:p w14:paraId="6C855384" w14:textId="06A4449F" w:rsidR="00A16792" w:rsidRDefault="00A16792" w:rsidP="00A16792">
      <w:r w:rsidRPr="00A16792">
        <w:t xml:space="preserve">The 2021 working age population in the study area ranges from approximately 15,000 in the Maryborough-Pyrenees to 133,000 in Melton-Bacchus Marsh. All SA3s in the study area are expected to experience an increase in working age population from 2021 to 2036, from an increase of 0.2 per cent in Grampians to 21.5 and 68.7 per cent in Ballarat and Melton-Bacchus Marsh respectively. The increases in Ballarat and Melton-Bacchus Marsh are higher than the increase of 17.9 per cent expected for the whole of Victoria </w:t>
      </w:r>
      <w:r w:rsidR="00C80747">
        <w:t xml:space="preserve">as shown in </w:t>
      </w:r>
      <w:r w:rsidR="0041705A">
        <w:fldChar w:fldCharType="begin"/>
      </w:r>
      <w:r w:rsidR="0041705A">
        <w:instrText xml:space="preserve"> REF _Ref197693665 \h </w:instrText>
      </w:r>
      <w:r w:rsidR="0041705A">
        <w:fldChar w:fldCharType="separate"/>
      </w:r>
      <w:r w:rsidR="0041705A">
        <w:t xml:space="preserve">Figure </w:t>
      </w:r>
      <w:r w:rsidR="0041705A">
        <w:rPr>
          <w:noProof/>
        </w:rPr>
        <w:t>14</w:t>
      </w:r>
      <w:r w:rsidR="0041705A">
        <w:t>.</w:t>
      </w:r>
      <w:r w:rsidR="0041705A">
        <w:rPr>
          <w:noProof/>
        </w:rPr>
        <w:t>2</w:t>
      </w:r>
      <w:r w:rsidR="0041705A">
        <w:fldChar w:fldCharType="end"/>
      </w:r>
      <w:r w:rsidRPr="00A16792">
        <w:t>.</w:t>
      </w:r>
    </w:p>
    <w:p w14:paraId="51E1CD10" w14:textId="77777777" w:rsidR="00A16792" w:rsidRDefault="00A16792" w:rsidP="00A16792">
      <w:pPr>
        <w:keepNext/>
      </w:pPr>
      <w:r w:rsidRPr="002022E1">
        <w:rPr>
          <w:noProof/>
        </w:rPr>
        <w:drawing>
          <wp:inline distT="0" distB="0" distL="0" distR="0" wp14:anchorId="3BA4CA04" wp14:editId="18B8C153">
            <wp:extent cx="5509071" cy="2655530"/>
            <wp:effectExtent l="0" t="0" r="0" b="0"/>
            <wp:docPr id="1964084885" name="Picture 24"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84885" name="Picture 24" descr="A graph of different colored squar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1380" cy="2666283"/>
                    </a:xfrm>
                    <a:prstGeom prst="rect">
                      <a:avLst/>
                    </a:prstGeom>
                    <a:noFill/>
                    <a:ln>
                      <a:noFill/>
                    </a:ln>
                  </pic:spPr>
                </pic:pic>
              </a:graphicData>
            </a:graphic>
          </wp:inline>
        </w:drawing>
      </w:r>
    </w:p>
    <w:p w14:paraId="5E84BE0B" w14:textId="66E93FA8" w:rsidR="00A16792" w:rsidRPr="0016178D" w:rsidRDefault="00A16792" w:rsidP="00A071BB">
      <w:pPr>
        <w:pStyle w:val="Caption"/>
        <w:spacing w:before="120" w:after="240"/>
        <w:rPr>
          <w:b/>
        </w:rPr>
      </w:pPr>
      <w:bookmarkStart w:id="9" w:name="_Ref197693665"/>
      <w:r>
        <w:t xml:space="preserve">Figure </w:t>
      </w:r>
      <w:fldSimple w:instr=" STYLEREF 1 \s ">
        <w:r w:rsidR="00522422">
          <w:rPr>
            <w:noProof/>
          </w:rPr>
          <w:t>14</w:t>
        </w:r>
      </w:fldSimple>
      <w:r w:rsidR="00522422">
        <w:t>.</w:t>
      </w:r>
      <w:fldSimple w:instr=" SEQ Figure \* ARABIC \s 1 ">
        <w:r w:rsidR="00522422">
          <w:rPr>
            <w:noProof/>
          </w:rPr>
          <w:t>2</w:t>
        </w:r>
      </w:fldSimple>
      <w:bookmarkEnd w:id="9"/>
      <w:r>
        <w:t xml:space="preserve"> Working age population (population aged 15 to 64) by SA3 and Victoria (source</w:t>
      </w:r>
      <w:r w:rsidRPr="008F410A">
        <w:t xml:space="preserve">: </w:t>
      </w:r>
      <w:r w:rsidRPr="0016178D">
        <w:rPr>
          <w:b/>
        </w:rPr>
        <w:t xml:space="preserve">Technical </w:t>
      </w:r>
      <w:r w:rsidR="0035100C">
        <w:rPr>
          <w:b/>
          <w:bCs/>
        </w:rPr>
        <w:t>R</w:t>
      </w:r>
      <w:r w:rsidRPr="0016178D">
        <w:rPr>
          <w:b/>
        </w:rPr>
        <w:t>eport G: Economic Impact Assessment</w:t>
      </w:r>
      <w:r w:rsidR="00A83EB9">
        <w:rPr>
          <w:b/>
        </w:rPr>
        <w:t>)</w:t>
      </w:r>
    </w:p>
    <w:p w14:paraId="257BA708" w14:textId="77777777" w:rsidR="00A16792" w:rsidRDefault="00A16792" w:rsidP="00A16792">
      <w:pPr>
        <w:pStyle w:val="Heading5"/>
      </w:pPr>
      <w:r>
        <w:t>Employment, income and expenses</w:t>
      </w:r>
    </w:p>
    <w:p w14:paraId="13C39B20" w14:textId="216D8052" w:rsidR="00A16792" w:rsidRDefault="00A16792" w:rsidP="00A16792">
      <w:r>
        <w:t xml:space="preserve">As of June 2023, Melton-Bacchus Marsh had the highest unemployment rate in the study area, at 5.8 per cent, above the Victorian unemployment rate of 3.6 per cent. Maryborough-Pyrenees, at 4.1 per cent, also sits above the Victorian average. Grampians, Ballarat and Creswick-Daylesford-Ballan unemployment rates were below the Victorian average, at 3.5, 2.3 and 1.7 per cent respectively </w:t>
      </w:r>
      <w:r w:rsidR="000F7D32">
        <w:t xml:space="preserve">as shown in </w:t>
      </w:r>
      <w:r w:rsidR="0041705A">
        <w:fldChar w:fldCharType="begin"/>
      </w:r>
      <w:r w:rsidR="0041705A">
        <w:instrText xml:space="preserve"> REF _Ref197693676 \h </w:instrText>
      </w:r>
      <w:r w:rsidR="0041705A">
        <w:fldChar w:fldCharType="separate"/>
      </w:r>
      <w:r w:rsidR="0041705A">
        <w:t>Figure</w:t>
      </w:r>
      <w:r w:rsidR="00A071BB">
        <w:t> </w:t>
      </w:r>
      <w:r w:rsidR="0041705A">
        <w:rPr>
          <w:noProof/>
        </w:rPr>
        <w:t>14</w:t>
      </w:r>
      <w:r w:rsidR="0041705A">
        <w:t>.</w:t>
      </w:r>
      <w:r w:rsidR="0041705A">
        <w:rPr>
          <w:noProof/>
        </w:rPr>
        <w:t>3</w:t>
      </w:r>
      <w:r w:rsidR="0041705A">
        <w:fldChar w:fldCharType="end"/>
      </w:r>
      <w:r>
        <w:t>.</w:t>
      </w:r>
    </w:p>
    <w:p w14:paraId="5222DD76" w14:textId="39449843" w:rsidR="00A16792" w:rsidRDefault="00A16792" w:rsidP="00A16792">
      <w:r>
        <w:t xml:space="preserve">Median weekly household income and expenses across the study area largely correlate with distance from Melbourne, with Melton-Bacchus Marsh being the most expensive and Grampians being the least expensive. From east to west, household incomes and expenses trend downwards, and are all generally lower than the Victorian average </w:t>
      </w:r>
      <w:r w:rsidR="000F7D32">
        <w:t xml:space="preserve">as shown in </w:t>
      </w:r>
      <w:r w:rsidR="0041705A">
        <w:fldChar w:fldCharType="begin"/>
      </w:r>
      <w:r w:rsidR="0041705A">
        <w:instrText xml:space="preserve"> REF _Ref197693686 \h </w:instrText>
      </w:r>
      <w:r w:rsidR="0041705A">
        <w:fldChar w:fldCharType="separate"/>
      </w:r>
      <w:r w:rsidR="0041705A">
        <w:t xml:space="preserve">Figure </w:t>
      </w:r>
      <w:r w:rsidR="0041705A">
        <w:rPr>
          <w:noProof/>
        </w:rPr>
        <w:t>14</w:t>
      </w:r>
      <w:r w:rsidR="0041705A">
        <w:t>.</w:t>
      </w:r>
      <w:r w:rsidR="0041705A">
        <w:rPr>
          <w:noProof/>
        </w:rPr>
        <w:t>4</w:t>
      </w:r>
      <w:r w:rsidR="0041705A">
        <w:fldChar w:fldCharType="end"/>
      </w:r>
      <w:r>
        <w:t>.</w:t>
      </w:r>
    </w:p>
    <w:p w14:paraId="1E96D29C" w14:textId="77777777" w:rsidR="00A16792" w:rsidRDefault="00A16792" w:rsidP="00457A3F">
      <w:pPr>
        <w:keepNext/>
        <w:keepLines/>
      </w:pPr>
      <w:r>
        <w:lastRenderedPageBreak/>
        <w:t>‘Health Care and Social Assistance’ is the top employing industry in the majority of SA3s in the study area, accounting for between 10 and 21 per cent of total jobs. Other top employing industries across</w:t>
      </w:r>
      <w:r w:rsidR="00522422">
        <w:t xml:space="preserve"> </w:t>
      </w:r>
      <w:r w:rsidR="00522422" w:rsidRPr="00522422">
        <w:t>the study area including ‘Agriculture, Forestry and Fishing’ (1 to 16 per cent of total jobs), ‘Construction’ (7 to 16 per cent of total jobs), ‘Education and Training’ (7 to 13 per cent of total jobs), and ‘Retail Trade’ (8 to 12 per cent of total jobs). Tourism, which occurs across multiple industries, contributes 1.8 to 37.4 per cent of total jobs across the study area, as follows:</w:t>
      </w:r>
    </w:p>
    <w:p w14:paraId="1B1A5CE0" w14:textId="77777777" w:rsidR="00522422" w:rsidRDefault="00522422" w:rsidP="00522422">
      <w:pPr>
        <w:pStyle w:val="ListBullet"/>
      </w:pPr>
      <w:r>
        <w:t>Grampians (Central Highlands Tourism Region): 14.7 per cent of total jobs (approximately 2,300 jobs).</w:t>
      </w:r>
    </w:p>
    <w:p w14:paraId="5D69CBAC" w14:textId="77777777" w:rsidR="00522422" w:rsidRDefault="00522422" w:rsidP="00522422">
      <w:pPr>
        <w:pStyle w:val="ListBullet"/>
      </w:pPr>
      <w:r>
        <w:t>Maryborough-Pyrenees and Ballarat (Ballarat Tourism Region): 4.3 per cent of total jobs (approximately 3,800 jobs).</w:t>
      </w:r>
    </w:p>
    <w:p w14:paraId="3EB77E92" w14:textId="77777777" w:rsidR="00522422" w:rsidRDefault="00522422" w:rsidP="00522422">
      <w:pPr>
        <w:pStyle w:val="ListBullet"/>
      </w:pPr>
      <w:r>
        <w:t>Creswick-Daylesford-Ballan (Spa Country Tourism Region): 37.4 per cent of total jobs (approximately 2,900 jobs).</w:t>
      </w:r>
    </w:p>
    <w:p w14:paraId="207F6EE6" w14:textId="77777777" w:rsidR="00522422" w:rsidRDefault="00457A3F" w:rsidP="00522422">
      <w:pPr>
        <w:pStyle w:val="ListBullet"/>
      </w:pPr>
      <w:r>
        <w:rPr>
          <w:noProof/>
        </w:rPr>
        <w:drawing>
          <wp:anchor distT="0" distB="0" distL="114300" distR="114300" simplePos="0" relativeHeight="251658241" behindDoc="0" locked="0" layoutInCell="1" allowOverlap="1" wp14:anchorId="215DB23F" wp14:editId="0E777B10">
            <wp:simplePos x="0" y="0"/>
            <wp:positionH relativeFrom="column">
              <wp:posOffset>-1270</wp:posOffset>
            </wp:positionH>
            <wp:positionV relativeFrom="paragraph">
              <wp:posOffset>567690</wp:posOffset>
            </wp:positionV>
            <wp:extent cx="5372735" cy="2954655"/>
            <wp:effectExtent l="0" t="0" r="0" b="0"/>
            <wp:wrapTopAndBottom/>
            <wp:docPr id="1642110426" name="Picture 27" descr="A graph of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10426" name="Picture 27" descr="A graph of colored line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735"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422">
        <w:t>Melton-Bacchus Marsh (Macedon Tourism Region and Melbourne Tourism Region): 4.6 per cent of total jobs (approximately 1,700 jobs) in the Macedon Tourism Region and 1.8 per cent of total jobs (approximately 68,100 jobs) in the Melbourne Tourism Region.</w:t>
      </w:r>
    </w:p>
    <w:p w14:paraId="53CE2873" w14:textId="408C0CBF" w:rsidR="00522422" w:rsidRDefault="00522422" w:rsidP="00457A3F">
      <w:pPr>
        <w:pStyle w:val="Caption"/>
        <w:spacing w:before="360" w:after="120"/>
      </w:pPr>
      <w:bookmarkStart w:id="10" w:name="_Ref197693676"/>
      <w:r>
        <w:t xml:space="preserve">Figure </w:t>
      </w:r>
      <w:fldSimple w:instr=" STYLEREF 1 \s ">
        <w:r>
          <w:rPr>
            <w:noProof/>
          </w:rPr>
          <w:t>14</w:t>
        </w:r>
      </w:fldSimple>
      <w:r>
        <w:t>.</w:t>
      </w:r>
      <w:fldSimple w:instr=" SEQ Figure \* ARABIC \s 1 ">
        <w:r>
          <w:rPr>
            <w:noProof/>
          </w:rPr>
          <w:t>3</w:t>
        </w:r>
      </w:fldSimple>
      <w:bookmarkEnd w:id="10"/>
      <w:r>
        <w:t xml:space="preserve"> Historical unemployment rate (%) by SA3 and Victoria, December 2010 to June 2023 (source: </w:t>
      </w:r>
      <w:r w:rsidR="008F410A" w:rsidRPr="0016178D">
        <w:rPr>
          <w:b/>
        </w:rPr>
        <w:t>Technical</w:t>
      </w:r>
      <w:r w:rsidRPr="0016178D">
        <w:rPr>
          <w:b/>
        </w:rPr>
        <w:t xml:space="preserve"> Report G: Economic Impact Assessment</w:t>
      </w:r>
      <w:r>
        <w:t>)</w:t>
      </w:r>
    </w:p>
    <w:p w14:paraId="26F294C7" w14:textId="7D7C6970" w:rsidR="00522422" w:rsidRDefault="00522422" w:rsidP="00457A3F">
      <w:pPr>
        <w:pStyle w:val="Caption"/>
        <w:spacing w:before="240"/>
      </w:pPr>
      <w:r w:rsidRPr="008728C6">
        <w:rPr>
          <w:noProof/>
        </w:rPr>
        <w:drawing>
          <wp:anchor distT="0" distB="0" distL="114300" distR="114300" simplePos="0" relativeHeight="251658242" behindDoc="0" locked="0" layoutInCell="1" allowOverlap="1" wp14:anchorId="6DC55A6A" wp14:editId="472A7949">
            <wp:simplePos x="0" y="0"/>
            <wp:positionH relativeFrom="column">
              <wp:posOffset>-1144</wp:posOffset>
            </wp:positionH>
            <wp:positionV relativeFrom="paragraph">
              <wp:posOffset>3212</wp:posOffset>
            </wp:positionV>
            <wp:extent cx="5759450" cy="2432050"/>
            <wp:effectExtent l="0" t="0" r="0" b="6350"/>
            <wp:wrapTopAndBottom/>
            <wp:docPr id="394629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432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Ref197693686"/>
      <w:r>
        <w:t xml:space="preserve">Figure </w:t>
      </w:r>
      <w:fldSimple w:instr=" STYLEREF 1 \s ">
        <w:r>
          <w:rPr>
            <w:noProof/>
          </w:rPr>
          <w:t>14</w:t>
        </w:r>
      </w:fldSimple>
      <w:r>
        <w:t>.</w:t>
      </w:r>
      <w:fldSimple w:instr=" SEQ Figure \* ARABIC \s 1 ">
        <w:r>
          <w:rPr>
            <w:noProof/>
          </w:rPr>
          <w:t>4</w:t>
        </w:r>
      </w:fldSimple>
      <w:bookmarkEnd w:id="11"/>
      <w:r>
        <w:t xml:space="preserve"> Weekly income and housing expenses by SA3 and Victoria, 2021 (source: </w:t>
      </w:r>
      <w:r w:rsidRPr="0016178D">
        <w:rPr>
          <w:b/>
        </w:rPr>
        <w:t>Technical Report G: Economic Impact Assessment</w:t>
      </w:r>
      <w:r>
        <w:t>)</w:t>
      </w:r>
    </w:p>
    <w:p w14:paraId="43425755" w14:textId="77777777" w:rsidR="00522422" w:rsidRDefault="00522422" w:rsidP="00522422">
      <w:pPr>
        <w:pStyle w:val="Heading5"/>
      </w:pPr>
      <w:r>
        <w:lastRenderedPageBreak/>
        <w:t>Business in the study area</w:t>
      </w:r>
    </w:p>
    <w:p w14:paraId="631D24D4" w14:textId="7EB2C113" w:rsidR="00522422" w:rsidRDefault="00522422" w:rsidP="00522422">
      <w:r>
        <w:t>The top three industries in the study area for number of actively trading businesses are ‘Construction’, ‘Transport, Postal and Warehousing’ and ‘Agriculture, Forestry and Fishing</w:t>
      </w:r>
      <w:r w:rsidR="00AB687D">
        <w:t>’</w:t>
      </w:r>
      <w:r>
        <w:t>. Almost two thirds (63 per cent) of these are non-employing businesses, such as sole proprietorships and partnerships without employees, 35 per cent are small businesses (one to 19 employees), 2 per cent are medium businesses (20 to 199 employees), and less than 1 per cent are large businesses (200+ employees).</w:t>
      </w:r>
    </w:p>
    <w:p w14:paraId="701AC7C2" w14:textId="77777777" w:rsidR="00522422" w:rsidRDefault="00522422" w:rsidP="00522422">
      <w:r>
        <w:t>Within each of the SA3s that form the study area:</w:t>
      </w:r>
    </w:p>
    <w:p w14:paraId="4E6E4926" w14:textId="77777777" w:rsidR="00522422" w:rsidRDefault="00522422" w:rsidP="00522422">
      <w:pPr>
        <w:pStyle w:val="ListBullet"/>
      </w:pPr>
      <w:r>
        <w:t>Grampians: The top three industries for number of actively trading businesses are ‘Agriculture, Forestry and Fishing’, ‘Construction’ and ‘Rental Hiring and Real Estate Services.’ Over half (59 per cent) are non-employing businesses, 39 per cent are small businesses, 2 per cent are medium businesses, and less than 1 per cent are large businesses. Non-agricultural businesses within 2km of the Project represent 0.01 per cent of total businesses in the region, and all are in the ‘Electricity, Gas, Water and Waste Services’ industry, comprising 4 per cent of all ‘Electricity, Gas, Water and Waste Services’ businesses in the region.</w:t>
      </w:r>
    </w:p>
    <w:p w14:paraId="77F91164" w14:textId="77777777" w:rsidR="00522422" w:rsidRDefault="00522422" w:rsidP="00522422">
      <w:pPr>
        <w:pStyle w:val="ListBullet"/>
      </w:pPr>
      <w:r>
        <w:t xml:space="preserve">Maryborough - Pyrenees: The top three industries for number of actively trading businesses are ‘Agriculture, Forestry and Fishing’, ‘Construction’ and ‘Rental Hiring and Real Estate Services.’ Over half (60 per cent) are non-employing businesses, 39 per cent are small businesses, 1 per cent are medium businesses, and less than 1 per cent are large businesses. Non-agricultural businesses within 2km of the Project represent 1 per cent of total businesses in the region. The ‘Accommodation and Food Services’ industry has the greatest number of businesses, with four businesses within 2km of the Project, representing 4 per cent of all ‘Accommodation and Food Services’ businesses in the region. </w:t>
      </w:r>
    </w:p>
    <w:p w14:paraId="291D1A52" w14:textId="77777777" w:rsidR="00522422" w:rsidRDefault="00522422" w:rsidP="00522422">
      <w:pPr>
        <w:pStyle w:val="ListBullet"/>
      </w:pPr>
      <w:r>
        <w:t>Ballarat: The top three industries for number of actively trading businesses are ‘Construction’, ‘Rental Hiring and Real Estate Services’ and ‘Professional Scientific and Technical Services.’ Over half (59 per cent) are non-employing businesses, 38 per cent are small businesses, 3 per cent are medium businesses, and less than 1 per cent are large businesses. The Project does not directly traverse the Ballarat region, and there are no known businesses in this region within 2km of the Project.</w:t>
      </w:r>
    </w:p>
    <w:p w14:paraId="5C879254" w14:textId="17894931" w:rsidR="00522422" w:rsidRDefault="00522422" w:rsidP="00522422">
      <w:pPr>
        <w:pStyle w:val="ListBullet"/>
      </w:pPr>
      <w:r>
        <w:t xml:space="preserve">Creswick - Daylesford </w:t>
      </w:r>
      <w:r w:rsidR="00B71BFC">
        <w:t>-</w:t>
      </w:r>
      <w:r>
        <w:t xml:space="preserve"> Ballan: The top three industries for number of actively trading businesses are ‘Agriculture, Forestry and Fishing’, ‘Construction’ and ‘Professional, Scientific and Technical Services.’ Over half (62 per cent) are non-employing businesses, 37 per cent are small businesses, 1 per cent are medium businesses, and none are large businesses. Non-agricultural businesses within 2km of the Project represent 2 per cent of total businesses in the region. The ‘Other Services’ industry has the greatest number of businesses, with 18 businesses within 2km of the Project, representing 13 per cent of all ‘Other Services’ businesses in the region.</w:t>
      </w:r>
    </w:p>
    <w:p w14:paraId="580598D9" w14:textId="77777777" w:rsidR="00522422" w:rsidRPr="00522422" w:rsidRDefault="00522422" w:rsidP="00522422">
      <w:pPr>
        <w:pStyle w:val="ListBullet"/>
      </w:pPr>
      <w:r w:rsidRPr="00522422">
        <w:t>Melton - Bacchus Marsh: The top three industries for number of actively trading businesses are ‘Transport, Postal and Warehousing’, ‘Construction’ and ‘Professional, Scientific and Technical Services.’ Over two-thirds (68 per cent) are non-employing businesses, 30 per cent are small businesses, 1 per cent are medium businesses, and less than 1 per cent are large businesses. Non-agricultural businesses within 2km of the Project represent 1 per cent of total businesses in the region. The ‘Other Services’ industry has the greatest number of businesses, with 41 businesses within 2km of the Project, representing 4 per cent of all ‘Other Services’ businesses in the region.</w:t>
      </w:r>
    </w:p>
    <w:p w14:paraId="69C5B218" w14:textId="77777777" w:rsidR="00522422" w:rsidRDefault="00522422" w:rsidP="00457A3F">
      <w:pPr>
        <w:pStyle w:val="Heading5"/>
      </w:pPr>
      <w:r>
        <w:lastRenderedPageBreak/>
        <w:t>Gross value added</w:t>
      </w:r>
    </w:p>
    <w:p w14:paraId="604E26D2" w14:textId="77777777" w:rsidR="00522422" w:rsidRDefault="00522422" w:rsidP="00457A3F">
      <w:pPr>
        <w:keepNext/>
        <w:keepLines/>
      </w:pPr>
      <w:r w:rsidRPr="00522422">
        <w:t>Gross value added is a measure of the industry production value and the contribution to overall gross product and is considered a reliable estimate of economic contribution as it removes distortions caused by taxes and subsidies across different industries. The industries providing the greatest contribution to the gross value added for each SA3 region are:</w:t>
      </w:r>
    </w:p>
    <w:p w14:paraId="313439E8" w14:textId="77777777" w:rsidR="00522422" w:rsidRDefault="00522422" w:rsidP="00457A3F">
      <w:pPr>
        <w:pStyle w:val="ListBullet"/>
        <w:keepNext/>
        <w:keepLines/>
      </w:pPr>
      <w:r>
        <w:t>Grampians: ‘Agriculture, Forestry and Fishing’ is the largest industry, contributing 26 per cent of the gross value added. ‘Health Care and Social Assistance’ and ‘Mining’ are the second and third largest industries in the region. Tourism contributes 3.8 per cent to gross value added in the region (Central Highlands Tourism Region).</w:t>
      </w:r>
    </w:p>
    <w:p w14:paraId="3B9E372C" w14:textId="514AC530" w:rsidR="00522422" w:rsidRDefault="00522422" w:rsidP="00457A3F">
      <w:pPr>
        <w:pStyle w:val="ListBullet"/>
        <w:keepNext/>
        <w:keepLines/>
      </w:pPr>
      <w:r>
        <w:t>Maryborough</w:t>
      </w:r>
      <w:r w:rsidR="00F6032B">
        <w:t xml:space="preserve"> </w:t>
      </w:r>
      <w:r>
        <w:t>-</w:t>
      </w:r>
      <w:r w:rsidR="00F6032B">
        <w:t xml:space="preserve"> </w:t>
      </w:r>
      <w:r>
        <w:t>Pyrenees: ‘Agriculture, Forestry and Fishing’ is the largest industry, contributing 22 per cent of the gross value added. ‘Mining’ and ‘Construction’ are the second and third largest industries in the region. Tourism contributes 2.0 per cent to gross value added in the region (Ballarat Tourism Region).</w:t>
      </w:r>
    </w:p>
    <w:p w14:paraId="3FB76E2C" w14:textId="77777777" w:rsidR="00522422" w:rsidRDefault="00522422" w:rsidP="00522422">
      <w:pPr>
        <w:pStyle w:val="ListBullet"/>
      </w:pPr>
      <w:r>
        <w:t>Ballarat: ‘Health Care and Social Assistance’ is the largest industry, contributing 28 per cent of the gross value added. ‘Construction’ and ‘Manufacturing’ are the second and third largest industries in the region. Tourism contributes 2.0 per cent to gross value added in the region (Ballarat Tourism Region).</w:t>
      </w:r>
    </w:p>
    <w:p w14:paraId="7B0A69FE" w14:textId="164CAA8D" w:rsidR="00522422" w:rsidRDefault="00522422" w:rsidP="00522422">
      <w:pPr>
        <w:pStyle w:val="ListBullet"/>
      </w:pPr>
      <w:r>
        <w:t>Creswick</w:t>
      </w:r>
      <w:r w:rsidR="00F6032B">
        <w:t xml:space="preserve"> - </w:t>
      </w:r>
      <w:r>
        <w:t>Daylesford</w:t>
      </w:r>
      <w:r w:rsidR="00F6032B">
        <w:t xml:space="preserve"> </w:t>
      </w:r>
      <w:r>
        <w:t>-</w:t>
      </w:r>
      <w:r w:rsidR="00F6032B">
        <w:t xml:space="preserve"> </w:t>
      </w:r>
      <w:r>
        <w:t>Ballan: ‘Agriculture, Forestry and Fishing’ is the largest industry, contributing 28 per cent of the gross value added. ‘Construction’ and ‘Health Care and Social Assistance’ are the second and third largest industries in the region. Tourism contributes 9.9 per cent to gross value added in the region (Spa Country Tourism Region).</w:t>
      </w:r>
    </w:p>
    <w:p w14:paraId="59913793" w14:textId="3B7DB921" w:rsidR="00522422" w:rsidRDefault="00522422" w:rsidP="00522422">
      <w:pPr>
        <w:pStyle w:val="ListBullet"/>
      </w:pPr>
      <w:r>
        <w:t>Melton</w:t>
      </w:r>
      <w:r w:rsidR="00F6032B">
        <w:t xml:space="preserve"> </w:t>
      </w:r>
      <w:r>
        <w:t>-</w:t>
      </w:r>
      <w:r w:rsidR="00F6032B">
        <w:t xml:space="preserve"> </w:t>
      </w:r>
      <w:r>
        <w:t>Bacchus Marsh: ‘Construction’ is the largest industry, contributing 27 per cent of the gross value added. ‘Education and Training’ and ‘Public Administration and Safety’ are the second and third largest industries. Tourism contributes 2.2 and 1.0 per cent to gross value added in the region (Macedon Tourism Region and Melbourne Tourism Region respectively).</w:t>
      </w:r>
    </w:p>
    <w:p w14:paraId="330DD772" w14:textId="1E835DD4" w:rsidR="00522422" w:rsidRDefault="00522422" w:rsidP="00522422">
      <w:pPr>
        <w:pStyle w:val="Heading3"/>
      </w:pPr>
      <w:bookmarkStart w:id="12" w:name="_Toc201048157"/>
      <w:r>
        <w:t>Renewable energy generation</w:t>
      </w:r>
      <w:bookmarkEnd w:id="12"/>
    </w:p>
    <w:p w14:paraId="350F1079" w14:textId="77777777" w:rsidR="00522422" w:rsidRDefault="00522422" w:rsidP="00522422">
      <w:r w:rsidRPr="00522422">
        <w:t xml:space="preserve">The profile of existing and expected renewable energy projects, that are likely to be commissioned prior to the opening of the Project, provides context as to the current economic role of renewable energy generation within the study area. The following projects have been identified by the Department of Transport and Planning as occurring in the study area, also presented in </w:t>
      </w:r>
      <w:r w:rsidR="0041705A">
        <w:fldChar w:fldCharType="begin"/>
      </w:r>
      <w:r w:rsidR="0041705A">
        <w:instrText xml:space="preserve"> REF _Ref197693716 \h </w:instrText>
      </w:r>
      <w:r w:rsidR="0041705A">
        <w:fldChar w:fldCharType="separate"/>
      </w:r>
      <w:r w:rsidR="0041705A">
        <w:t xml:space="preserve">Figure </w:t>
      </w:r>
      <w:r w:rsidR="0041705A">
        <w:rPr>
          <w:noProof/>
        </w:rPr>
        <w:t>14</w:t>
      </w:r>
      <w:r w:rsidR="0041705A">
        <w:t>.</w:t>
      </w:r>
      <w:r w:rsidR="0041705A">
        <w:rPr>
          <w:noProof/>
        </w:rPr>
        <w:t>5</w:t>
      </w:r>
      <w:r w:rsidR="0041705A">
        <w:fldChar w:fldCharType="end"/>
      </w:r>
      <w:r w:rsidRPr="00522422">
        <w:t>:</w:t>
      </w:r>
    </w:p>
    <w:p w14:paraId="1DF7C68E" w14:textId="5AD003F5" w:rsidR="00522422" w:rsidRDefault="00522422" w:rsidP="00522422">
      <w:pPr>
        <w:pStyle w:val="ListBullet"/>
      </w:pPr>
      <w:r>
        <w:t>Wind energy projects: There are 14 operational projects in the study area, largely within the Grampians and Maryborough-Pyrenees regions, three projects that are approved but not yet operational, and one project for which a planning permit application has been submitted. Collectively, these projects provide approximately 2,744MW of power.</w:t>
      </w:r>
    </w:p>
    <w:p w14:paraId="4588EBD6" w14:textId="7934B5C7" w:rsidR="00522422" w:rsidRDefault="00522422" w:rsidP="00522422">
      <w:pPr>
        <w:pStyle w:val="ListBullet"/>
      </w:pPr>
      <w:r>
        <w:t>Solar energy projects: There are no operational solar farms in the study area, 12 projects that are approved but not yet operational, and one project for which a planning permit application has been submitted. Collectively, these projects provide a maximum of approximately 673MW of power.</w:t>
      </w:r>
    </w:p>
    <w:p w14:paraId="30CC37B3" w14:textId="762E8315" w:rsidR="00522422" w:rsidRDefault="00522422" w:rsidP="00522422">
      <w:pPr>
        <w:pStyle w:val="ListBullet"/>
      </w:pPr>
      <w:r>
        <w:t>Battery energy storage projects: There are two operating battery energy storage projects in the study area, and three projects that are approved but not yet operational. Collectively, these projects provide a maximum of approximately 1,700MW of power.</w:t>
      </w:r>
    </w:p>
    <w:p w14:paraId="2581A865" w14:textId="77777777" w:rsidR="00522422" w:rsidRDefault="00522422" w:rsidP="00457A3F">
      <w:r>
        <w:rPr>
          <w:noProof/>
        </w:rPr>
        <w:lastRenderedPageBreak/>
        <w:drawing>
          <wp:inline distT="0" distB="0" distL="0" distR="0" wp14:anchorId="437BCB33" wp14:editId="0F10B189">
            <wp:extent cx="5759450" cy="3712845"/>
            <wp:effectExtent l="19050" t="19050" r="12700" b="20955"/>
            <wp:docPr id="6982243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24393" name="Picture 698224393"/>
                    <pic:cNvPicPr/>
                  </pic:nvPicPr>
                  <pic:blipFill rotWithShape="1">
                    <a:blip r:embed="rId31" cstate="print">
                      <a:extLst>
                        <a:ext uri="{28A0092B-C50C-407E-A947-70E740481C1C}">
                          <a14:useLocalDpi xmlns:a14="http://schemas.microsoft.com/office/drawing/2010/main" val="0"/>
                        </a:ext>
                      </a:extLst>
                    </a:blip>
                    <a:srcRect l="5981" b="14278"/>
                    <a:stretch/>
                  </pic:blipFill>
                  <pic:spPr bwMode="auto">
                    <a:xfrm>
                      <a:off x="0" y="0"/>
                      <a:ext cx="5759450" cy="371284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A25E069" w14:textId="77777777" w:rsidR="00522422" w:rsidRDefault="00522422" w:rsidP="00A071BB">
      <w:pPr>
        <w:pStyle w:val="Caption"/>
      </w:pPr>
      <w:bookmarkStart w:id="13" w:name="_Ref197693716"/>
      <w:r>
        <w:t xml:space="preserve">Figure </w:t>
      </w:r>
      <w:fldSimple w:instr=" STYLEREF 1 \s ">
        <w:r>
          <w:rPr>
            <w:noProof/>
          </w:rPr>
          <w:t>14</w:t>
        </w:r>
      </w:fldSimple>
      <w:r>
        <w:t>.</w:t>
      </w:r>
      <w:fldSimple w:instr=" SEQ Figure \* ARABIC \s 1 ">
        <w:r>
          <w:rPr>
            <w:noProof/>
          </w:rPr>
          <w:t>5</w:t>
        </w:r>
      </w:fldSimple>
      <w:bookmarkEnd w:id="13"/>
      <w:r>
        <w:t xml:space="preserve"> Renewable energy projects in the study area (source: </w:t>
      </w:r>
      <w:r w:rsidRPr="0016178D">
        <w:rPr>
          <w:b/>
        </w:rPr>
        <w:t>Technical Report G: Economic Impact Assessment)</w:t>
      </w:r>
    </w:p>
    <w:p w14:paraId="1A1F256A" w14:textId="77777777" w:rsidR="00522422" w:rsidRDefault="00522422" w:rsidP="00522422">
      <w:pPr>
        <w:pStyle w:val="Heading2"/>
      </w:pPr>
      <w:bookmarkStart w:id="14" w:name="_Ref197693829"/>
      <w:bookmarkStart w:id="15" w:name="_Toc201048158"/>
      <w:r>
        <w:t>Economy-wide analysis</w:t>
      </w:r>
      <w:bookmarkEnd w:id="14"/>
      <w:bookmarkEnd w:id="15"/>
    </w:p>
    <w:p w14:paraId="37EB245B" w14:textId="77777777" w:rsidR="00522422" w:rsidRDefault="00522422" w:rsidP="00522422">
      <w:r w:rsidRPr="00522422">
        <w:t>The economy-wide modelling estimates the direct and flow-on (i.e. indirect and induced) economic effects of the Project, from 2024 to 2050. The modelling reported the following for the study area, the rest of western Victoria, the rest of Victoria, and the rest of Australia:</w:t>
      </w:r>
    </w:p>
    <w:p w14:paraId="52DE9086" w14:textId="77777777" w:rsidR="00522422" w:rsidRDefault="00522422" w:rsidP="00522422">
      <w:pPr>
        <w:pStyle w:val="ListBullet"/>
      </w:pPr>
      <w:r>
        <w:t xml:space="preserve">Changes in GDP, investment, household and government consumption, and a net welfare assessment to Australia (welfare analysed only for Australia as a whole) (see </w:t>
      </w:r>
      <w:r w:rsidR="00AF45F7">
        <w:t xml:space="preserve">Section </w:t>
      </w:r>
      <w:r w:rsidR="00AF45F7">
        <w:fldChar w:fldCharType="begin"/>
      </w:r>
      <w:r w:rsidR="00AF45F7">
        <w:instrText xml:space="preserve"> REF _Ref197693924 \r \h </w:instrText>
      </w:r>
      <w:r w:rsidR="00AF45F7">
        <w:fldChar w:fldCharType="separate"/>
      </w:r>
      <w:r w:rsidR="00AF45F7">
        <w:t>14.4.1</w:t>
      </w:r>
      <w:r w:rsidR="00AF45F7">
        <w:fldChar w:fldCharType="end"/>
      </w:r>
      <w:r>
        <w:t>).</w:t>
      </w:r>
    </w:p>
    <w:p w14:paraId="3F5B39E0" w14:textId="77777777" w:rsidR="00522422" w:rsidRDefault="00522422" w:rsidP="00522422">
      <w:pPr>
        <w:pStyle w:val="ListBullet"/>
      </w:pPr>
      <w:r>
        <w:t xml:space="preserve">Employment impacts across Victoria during and following construction (see Section </w:t>
      </w:r>
      <w:r w:rsidR="00AF45F7">
        <w:fldChar w:fldCharType="begin"/>
      </w:r>
      <w:r w:rsidR="00AF45F7">
        <w:instrText xml:space="preserve"> REF _Ref197694009 \r \h </w:instrText>
      </w:r>
      <w:r w:rsidR="00AF45F7">
        <w:fldChar w:fldCharType="separate"/>
      </w:r>
      <w:r w:rsidR="00AF45F7">
        <w:t>14.4.2</w:t>
      </w:r>
      <w:r w:rsidR="00AF45F7">
        <w:fldChar w:fldCharType="end"/>
      </w:r>
      <w:r>
        <w:t>).</w:t>
      </w:r>
    </w:p>
    <w:p w14:paraId="29C80E02" w14:textId="77777777" w:rsidR="00522422" w:rsidRDefault="00522422" w:rsidP="00522422">
      <w:r w:rsidRPr="00522422">
        <w:t>The economy-wide modelling does not estimate potential economic effects of decommissioning the Project, as this is beyond the period of analysis within the CGE model. The CGE modelling reports economy-wide impacts to Financial Year (FY) 2050.</w:t>
      </w:r>
    </w:p>
    <w:p w14:paraId="7ACE2F13" w14:textId="77777777" w:rsidR="00522422" w:rsidRDefault="00522422" w:rsidP="00522422">
      <w:pPr>
        <w:pStyle w:val="Heading3"/>
      </w:pPr>
      <w:bookmarkStart w:id="16" w:name="_Ref197693924"/>
      <w:bookmarkStart w:id="17" w:name="_Toc201048159"/>
      <w:r>
        <w:t>Changes in GDP, investment and consumption</w:t>
      </w:r>
      <w:bookmarkEnd w:id="16"/>
      <w:bookmarkEnd w:id="17"/>
    </w:p>
    <w:p w14:paraId="52F0EFA0" w14:textId="77777777" w:rsidR="00522422" w:rsidRDefault="00522422" w:rsidP="00522422">
      <w:r>
        <w:t xml:space="preserve">The modelled effect of the Project on GDP, investment, consumption and welfare from 2024 to 2050 outlined in </w:t>
      </w:r>
      <w:r w:rsidR="0041705A">
        <w:fldChar w:fldCharType="begin"/>
      </w:r>
      <w:r w:rsidR="0041705A">
        <w:instrText xml:space="preserve"> REF _Ref197693764 \h </w:instrText>
      </w:r>
      <w:r w:rsidR="0041705A">
        <w:fldChar w:fldCharType="separate"/>
      </w:r>
      <w:r w:rsidR="0041705A">
        <w:t xml:space="preserve">Table </w:t>
      </w:r>
      <w:r w:rsidR="0041705A">
        <w:rPr>
          <w:noProof/>
        </w:rPr>
        <w:t>14</w:t>
      </w:r>
      <w:r w:rsidR="0041705A">
        <w:t>.</w:t>
      </w:r>
      <w:r w:rsidR="0041705A">
        <w:rPr>
          <w:noProof/>
        </w:rPr>
        <w:t>1</w:t>
      </w:r>
      <w:r w:rsidR="0041705A">
        <w:fldChar w:fldCharType="end"/>
      </w:r>
      <w:r>
        <w:t>.</w:t>
      </w:r>
    </w:p>
    <w:p w14:paraId="0025B38E" w14:textId="77777777" w:rsidR="00522422" w:rsidRDefault="00522422" w:rsidP="00522422">
      <w:r>
        <w:t>Key findings include, by FY2050:</w:t>
      </w:r>
    </w:p>
    <w:p w14:paraId="41660DAD" w14:textId="77777777" w:rsidR="00522422" w:rsidRDefault="00522422" w:rsidP="00522422">
      <w:pPr>
        <w:pStyle w:val="ListBullet"/>
      </w:pPr>
      <w:r>
        <w:t xml:space="preserve">The Project increases Australia’s GDP by $4.5 billion and the Gross Regional Product of the study area by $0.9 billion. These impacts are largely driven by increases in investment and consumption in Victoria. </w:t>
      </w:r>
    </w:p>
    <w:p w14:paraId="03277D72" w14:textId="77777777" w:rsidR="00522422" w:rsidRDefault="00522422" w:rsidP="00522422">
      <w:pPr>
        <w:pStyle w:val="ListBullet"/>
      </w:pPr>
      <w:r>
        <w:t>Investment in the study area (due to the Project and induced investment in renewable generation and storage) drives Victorian investment up $2.0 billion. This impact is partially offset across the rest of Australia, as cheaper Victorian electricity generation replaces more expensive generation investment that would otherwise have been built in other states.</w:t>
      </w:r>
    </w:p>
    <w:p w14:paraId="1D0426E1" w14:textId="77777777" w:rsidR="00522422" w:rsidRDefault="00522422" w:rsidP="00522422">
      <w:pPr>
        <w:pStyle w:val="ListBullet"/>
      </w:pPr>
      <w:r>
        <w:lastRenderedPageBreak/>
        <w:t>Private and government consumption increase in Australia by $3.7 billion and $1.4 billion respectively, due to cost savings in the energy sector being passed on to consumers.</w:t>
      </w:r>
    </w:p>
    <w:p w14:paraId="43543C83" w14:textId="77777777" w:rsidR="00522422" w:rsidRPr="00522422" w:rsidRDefault="00522422" w:rsidP="00522422">
      <w:pPr>
        <w:pStyle w:val="ListBullet"/>
      </w:pPr>
      <w:r w:rsidRPr="00522422">
        <w:t xml:space="preserve">Overall, the net welfare benefit for Australia is positive – indicating that the Project provides a net benefit to Australians. A positive impact on net welfare means that the Project is projected to improve overall living standards. As a result of producing electricity more efficiently with the Project, there is a $4.7 billion net increase in living standards. </w:t>
      </w:r>
    </w:p>
    <w:p w14:paraId="11A255F8" w14:textId="7167BD21" w:rsidR="000A7550" w:rsidRDefault="000A7550" w:rsidP="000A7550">
      <w:pPr>
        <w:pStyle w:val="Caption"/>
        <w:keepNext/>
      </w:pPr>
      <w:bookmarkStart w:id="18" w:name="_Ref197693764"/>
      <w:r>
        <w:t xml:space="preserve">Table </w:t>
      </w:r>
      <w:fldSimple w:instr=" STYLEREF 1 \s ">
        <w:r w:rsidR="007932B9">
          <w:rPr>
            <w:noProof/>
          </w:rPr>
          <w:t>14</w:t>
        </w:r>
      </w:fldSimple>
      <w:r w:rsidR="007932B9">
        <w:t>.</w:t>
      </w:r>
      <w:fldSimple w:instr=" SEQ Table \* ARABIC \s 1 ">
        <w:r w:rsidR="007932B9">
          <w:rPr>
            <w:noProof/>
          </w:rPr>
          <w:t>1</w:t>
        </w:r>
      </w:fldSimple>
      <w:bookmarkEnd w:id="18"/>
      <w:r>
        <w:t xml:space="preserve"> Cumulative projected macroeconomic impacts from 2024 to 2050 (real 2024 </w:t>
      </w:r>
      <w:r w:rsidR="00130B39">
        <w:t>$</w:t>
      </w:r>
      <w:r>
        <w:t>m</w:t>
      </w:r>
      <w:r w:rsidR="00D95D39">
        <w:t>illions</w:t>
      </w:r>
      <w:r>
        <w:t>, discounted at 7</w:t>
      </w:r>
      <w:r w:rsidR="000F1D60">
        <w:t xml:space="preserve"> per cent</w:t>
      </w:r>
      <w:r>
        <w:t>)</w:t>
      </w:r>
    </w:p>
    <w:tbl>
      <w:tblPr>
        <w:tblStyle w:val="WVTTable2"/>
        <w:tblW w:w="5000" w:type="pct"/>
        <w:tblLook w:val="04A0" w:firstRow="1" w:lastRow="0" w:firstColumn="1" w:lastColumn="0" w:noHBand="0" w:noVBand="1"/>
      </w:tblPr>
      <w:tblGrid>
        <w:gridCol w:w="2989"/>
        <w:gridCol w:w="1215"/>
        <w:gridCol w:w="1217"/>
        <w:gridCol w:w="1215"/>
        <w:gridCol w:w="1217"/>
        <w:gridCol w:w="1217"/>
      </w:tblGrid>
      <w:tr w:rsidR="000A7550" w14:paraId="0C0B10D0" w14:textId="77777777" w:rsidTr="00FE1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pct"/>
          </w:tcPr>
          <w:p w14:paraId="1BC8BF8C" w14:textId="77777777" w:rsidR="000A7550" w:rsidRDefault="000A7550" w:rsidP="00C37EE0">
            <w:pPr>
              <w:pStyle w:val="TableText"/>
              <w:spacing w:after="0"/>
            </w:pPr>
            <w:r w:rsidRPr="007F7788">
              <w:t>Macroeconomic indicator</w:t>
            </w:r>
          </w:p>
        </w:tc>
        <w:tc>
          <w:tcPr>
            <w:tcW w:w="670" w:type="pct"/>
          </w:tcPr>
          <w:p w14:paraId="7F691707" w14:textId="77777777" w:rsidR="000A7550" w:rsidRDefault="000A7550"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7F7788">
              <w:t>Study area</w:t>
            </w:r>
          </w:p>
        </w:tc>
        <w:tc>
          <w:tcPr>
            <w:tcW w:w="671" w:type="pct"/>
          </w:tcPr>
          <w:p w14:paraId="7DA55815" w14:textId="77777777" w:rsidR="000A7550" w:rsidRDefault="000A7550"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7F7788">
              <w:t>Rest of western Victoria</w:t>
            </w:r>
          </w:p>
        </w:tc>
        <w:tc>
          <w:tcPr>
            <w:tcW w:w="670" w:type="pct"/>
          </w:tcPr>
          <w:p w14:paraId="4B31173D" w14:textId="77777777" w:rsidR="000A7550" w:rsidRDefault="000A7550"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7F7788">
              <w:t>Rest of Victoria</w:t>
            </w:r>
          </w:p>
        </w:tc>
        <w:tc>
          <w:tcPr>
            <w:tcW w:w="671" w:type="pct"/>
          </w:tcPr>
          <w:p w14:paraId="35555182" w14:textId="4429049A" w:rsidR="000A7550" w:rsidRDefault="000A7550"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7F7788">
              <w:t>Victoria total</w:t>
            </w:r>
          </w:p>
        </w:tc>
        <w:tc>
          <w:tcPr>
            <w:tcW w:w="671" w:type="pct"/>
          </w:tcPr>
          <w:p w14:paraId="2524B39B" w14:textId="77777777" w:rsidR="000A7550" w:rsidRDefault="000A7550"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7F7788">
              <w:t>Australia total</w:t>
            </w:r>
          </w:p>
        </w:tc>
      </w:tr>
      <w:tr w:rsidR="000A7550" w14:paraId="76C6EA22" w14:textId="77777777" w:rsidTr="00FE11EF">
        <w:tc>
          <w:tcPr>
            <w:cnfStyle w:val="001000000000" w:firstRow="0" w:lastRow="0" w:firstColumn="1" w:lastColumn="0" w:oddVBand="0" w:evenVBand="0" w:oddHBand="0" w:evenHBand="0" w:firstRowFirstColumn="0" w:firstRowLastColumn="0" w:lastRowFirstColumn="0" w:lastRowLastColumn="0"/>
            <w:tcW w:w="1647" w:type="pct"/>
          </w:tcPr>
          <w:p w14:paraId="1F90A453" w14:textId="77777777" w:rsidR="000A7550" w:rsidRDefault="000A7550" w:rsidP="00C37EE0">
            <w:pPr>
              <w:pStyle w:val="TableText"/>
              <w:spacing w:after="0"/>
            </w:pPr>
            <w:r w:rsidRPr="00147BCA">
              <w:t>GDP</w:t>
            </w:r>
          </w:p>
        </w:tc>
        <w:tc>
          <w:tcPr>
            <w:tcW w:w="670" w:type="pct"/>
          </w:tcPr>
          <w:p w14:paraId="0AFCD6CD"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$921</w:t>
            </w:r>
          </w:p>
        </w:tc>
        <w:tc>
          <w:tcPr>
            <w:tcW w:w="671" w:type="pct"/>
          </w:tcPr>
          <w:p w14:paraId="20C9375D"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$655</w:t>
            </w:r>
          </w:p>
        </w:tc>
        <w:tc>
          <w:tcPr>
            <w:tcW w:w="670" w:type="pct"/>
          </w:tcPr>
          <w:p w14:paraId="625DA9CC"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$2,667</w:t>
            </w:r>
          </w:p>
        </w:tc>
        <w:tc>
          <w:tcPr>
            <w:tcW w:w="671" w:type="pct"/>
          </w:tcPr>
          <w:p w14:paraId="3E47EE19"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$4,244</w:t>
            </w:r>
          </w:p>
        </w:tc>
        <w:tc>
          <w:tcPr>
            <w:tcW w:w="671" w:type="pct"/>
          </w:tcPr>
          <w:p w14:paraId="6885F9A4"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$4,504</w:t>
            </w:r>
          </w:p>
        </w:tc>
      </w:tr>
      <w:tr w:rsidR="000A7550" w14:paraId="3A9B0510" w14:textId="77777777" w:rsidTr="00FE1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pct"/>
          </w:tcPr>
          <w:p w14:paraId="48110739" w14:textId="77777777" w:rsidR="000A7550" w:rsidRDefault="000A7550" w:rsidP="00C37EE0">
            <w:pPr>
              <w:pStyle w:val="TableText"/>
              <w:spacing w:after="0"/>
            </w:pPr>
            <w:r w:rsidRPr="00147BCA">
              <w:t>Private investment</w:t>
            </w:r>
          </w:p>
        </w:tc>
        <w:tc>
          <w:tcPr>
            <w:tcW w:w="670" w:type="pct"/>
          </w:tcPr>
          <w:p w14:paraId="504EECB3"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$1,407</w:t>
            </w:r>
          </w:p>
        </w:tc>
        <w:tc>
          <w:tcPr>
            <w:tcW w:w="671" w:type="pct"/>
          </w:tcPr>
          <w:p w14:paraId="7EDB6471"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$176</w:t>
            </w:r>
          </w:p>
        </w:tc>
        <w:tc>
          <w:tcPr>
            <w:tcW w:w="670" w:type="pct"/>
          </w:tcPr>
          <w:p w14:paraId="41A945F3"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$459</w:t>
            </w:r>
          </w:p>
        </w:tc>
        <w:tc>
          <w:tcPr>
            <w:tcW w:w="671" w:type="pct"/>
          </w:tcPr>
          <w:p w14:paraId="15ED61B5"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$2,041</w:t>
            </w:r>
          </w:p>
        </w:tc>
        <w:tc>
          <w:tcPr>
            <w:tcW w:w="671" w:type="pct"/>
          </w:tcPr>
          <w:p w14:paraId="4ECA1BD8"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$978</w:t>
            </w:r>
          </w:p>
        </w:tc>
      </w:tr>
      <w:tr w:rsidR="000A7550" w14:paraId="70D94E15" w14:textId="77777777" w:rsidTr="00FE11EF">
        <w:tc>
          <w:tcPr>
            <w:cnfStyle w:val="001000000000" w:firstRow="0" w:lastRow="0" w:firstColumn="1" w:lastColumn="0" w:oddVBand="0" w:evenVBand="0" w:oddHBand="0" w:evenHBand="0" w:firstRowFirstColumn="0" w:firstRowLastColumn="0" w:lastRowFirstColumn="0" w:lastRowLastColumn="0"/>
            <w:tcW w:w="1647" w:type="pct"/>
          </w:tcPr>
          <w:p w14:paraId="681DF740" w14:textId="77777777" w:rsidR="000A7550" w:rsidRDefault="000A7550" w:rsidP="00C37EE0">
            <w:pPr>
              <w:pStyle w:val="TableText"/>
              <w:spacing w:after="0"/>
            </w:pPr>
            <w:r w:rsidRPr="00147BCA">
              <w:t>Private consumption (1)</w:t>
            </w:r>
          </w:p>
        </w:tc>
        <w:tc>
          <w:tcPr>
            <w:tcW w:w="670" w:type="pct"/>
          </w:tcPr>
          <w:p w14:paraId="60A3342E"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$762</w:t>
            </w:r>
          </w:p>
        </w:tc>
        <w:tc>
          <w:tcPr>
            <w:tcW w:w="671" w:type="pct"/>
          </w:tcPr>
          <w:p w14:paraId="7015B20F"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$366</w:t>
            </w:r>
          </w:p>
        </w:tc>
        <w:tc>
          <w:tcPr>
            <w:tcW w:w="670" w:type="pct"/>
          </w:tcPr>
          <w:p w14:paraId="0B5CD221"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$1,758</w:t>
            </w:r>
          </w:p>
        </w:tc>
        <w:tc>
          <w:tcPr>
            <w:tcW w:w="671" w:type="pct"/>
          </w:tcPr>
          <w:p w14:paraId="02F5E607"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$2,886</w:t>
            </w:r>
          </w:p>
        </w:tc>
        <w:tc>
          <w:tcPr>
            <w:tcW w:w="671" w:type="pct"/>
          </w:tcPr>
          <w:p w14:paraId="2E864A33"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$3,749</w:t>
            </w:r>
          </w:p>
        </w:tc>
      </w:tr>
      <w:tr w:rsidR="000A7550" w14:paraId="44D9F834" w14:textId="77777777" w:rsidTr="00FE1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pct"/>
          </w:tcPr>
          <w:p w14:paraId="5B957E61" w14:textId="77777777" w:rsidR="000A7550" w:rsidRDefault="000A7550" w:rsidP="00C37EE0">
            <w:pPr>
              <w:pStyle w:val="TableText"/>
              <w:spacing w:after="0"/>
            </w:pPr>
            <w:r w:rsidRPr="00147BCA">
              <w:t>Government consumption (2)</w:t>
            </w:r>
          </w:p>
        </w:tc>
        <w:tc>
          <w:tcPr>
            <w:tcW w:w="670" w:type="pct"/>
          </w:tcPr>
          <w:p w14:paraId="111E27BB"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$44</w:t>
            </w:r>
          </w:p>
        </w:tc>
        <w:tc>
          <w:tcPr>
            <w:tcW w:w="671" w:type="pct"/>
          </w:tcPr>
          <w:p w14:paraId="4CE6F844"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$78</w:t>
            </w:r>
          </w:p>
        </w:tc>
        <w:tc>
          <w:tcPr>
            <w:tcW w:w="670" w:type="pct"/>
          </w:tcPr>
          <w:p w14:paraId="53CF1F8B"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$645</w:t>
            </w:r>
          </w:p>
        </w:tc>
        <w:tc>
          <w:tcPr>
            <w:tcW w:w="671" w:type="pct"/>
          </w:tcPr>
          <w:p w14:paraId="4BFA0557"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$767</w:t>
            </w:r>
          </w:p>
        </w:tc>
        <w:tc>
          <w:tcPr>
            <w:tcW w:w="671" w:type="pct"/>
          </w:tcPr>
          <w:p w14:paraId="51ABBF62"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$1,359</w:t>
            </w:r>
          </w:p>
        </w:tc>
      </w:tr>
      <w:tr w:rsidR="000A7550" w14:paraId="27290D37" w14:textId="77777777" w:rsidTr="00FE11EF">
        <w:tc>
          <w:tcPr>
            <w:cnfStyle w:val="001000000000" w:firstRow="0" w:lastRow="0" w:firstColumn="1" w:lastColumn="0" w:oddVBand="0" w:evenVBand="0" w:oddHBand="0" w:evenHBand="0" w:firstRowFirstColumn="0" w:firstRowLastColumn="0" w:lastRowFirstColumn="0" w:lastRowLastColumn="0"/>
            <w:tcW w:w="1647" w:type="pct"/>
          </w:tcPr>
          <w:p w14:paraId="7913C86A" w14:textId="77777777" w:rsidR="000A7550" w:rsidRDefault="000A7550" w:rsidP="00C37EE0">
            <w:pPr>
              <w:pStyle w:val="TableText"/>
              <w:spacing w:after="0"/>
            </w:pPr>
            <w:r w:rsidRPr="00147BCA">
              <w:t>Change in net foreign liabilities in FY2050 (3)</w:t>
            </w:r>
          </w:p>
        </w:tc>
        <w:tc>
          <w:tcPr>
            <w:tcW w:w="670" w:type="pct"/>
          </w:tcPr>
          <w:p w14:paraId="06FC8F6F"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1" w:type="pct"/>
          </w:tcPr>
          <w:p w14:paraId="221751CB"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0" w:type="pct"/>
          </w:tcPr>
          <w:p w14:paraId="73A9A29F"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1" w:type="pct"/>
          </w:tcPr>
          <w:p w14:paraId="4DD0B1B6"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1" w:type="pct"/>
          </w:tcPr>
          <w:p w14:paraId="5A3E6802"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$467</w:t>
            </w:r>
          </w:p>
        </w:tc>
      </w:tr>
      <w:tr w:rsidR="000A7550" w14:paraId="2CB77297" w14:textId="77777777" w:rsidTr="00FE1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pct"/>
          </w:tcPr>
          <w:p w14:paraId="6CECAD73" w14:textId="77777777" w:rsidR="000A7550" w:rsidRDefault="000A7550" w:rsidP="00C37EE0">
            <w:pPr>
              <w:pStyle w:val="TableText"/>
              <w:spacing w:after="0"/>
            </w:pPr>
            <w:r w:rsidRPr="00147BCA">
              <w:t>Residual capital stock in FY2050 (4)</w:t>
            </w:r>
          </w:p>
        </w:tc>
        <w:tc>
          <w:tcPr>
            <w:tcW w:w="670" w:type="pct"/>
          </w:tcPr>
          <w:p w14:paraId="4EC71701"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N/A</w:t>
            </w:r>
          </w:p>
        </w:tc>
        <w:tc>
          <w:tcPr>
            <w:tcW w:w="671" w:type="pct"/>
          </w:tcPr>
          <w:p w14:paraId="46CA4F83"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N/A</w:t>
            </w:r>
          </w:p>
        </w:tc>
        <w:tc>
          <w:tcPr>
            <w:tcW w:w="670" w:type="pct"/>
          </w:tcPr>
          <w:p w14:paraId="5A593FBC"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N/A</w:t>
            </w:r>
          </w:p>
        </w:tc>
        <w:tc>
          <w:tcPr>
            <w:tcW w:w="671" w:type="pct"/>
          </w:tcPr>
          <w:p w14:paraId="2CEF05C3"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N/A</w:t>
            </w:r>
          </w:p>
        </w:tc>
        <w:tc>
          <w:tcPr>
            <w:tcW w:w="671" w:type="pct"/>
          </w:tcPr>
          <w:p w14:paraId="68BCC3FB" w14:textId="77777777" w:rsidR="000A7550" w:rsidRDefault="000A7550"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487249">
              <w:t>$48</w:t>
            </w:r>
          </w:p>
        </w:tc>
      </w:tr>
      <w:tr w:rsidR="000A7550" w14:paraId="24EF1073" w14:textId="77777777" w:rsidTr="00FE11EF">
        <w:tc>
          <w:tcPr>
            <w:cnfStyle w:val="001000000000" w:firstRow="0" w:lastRow="0" w:firstColumn="1" w:lastColumn="0" w:oddVBand="0" w:evenVBand="0" w:oddHBand="0" w:evenHBand="0" w:firstRowFirstColumn="0" w:firstRowLastColumn="0" w:lastRowFirstColumn="0" w:lastRowLastColumn="0"/>
            <w:tcW w:w="1647" w:type="pct"/>
          </w:tcPr>
          <w:p w14:paraId="14B3CEBE" w14:textId="77777777" w:rsidR="000A7550" w:rsidRDefault="000A7550" w:rsidP="00C37EE0">
            <w:pPr>
              <w:pStyle w:val="TableText"/>
              <w:spacing w:after="0"/>
            </w:pPr>
            <w:r w:rsidRPr="00147BCA">
              <w:t>Welfare (1 + 2 – 3 + 4)</w:t>
            </w:r>
          </w:p>
        </w:tc>
        <w:tc>
          <w:tcPr>
            <w:tcW w:w="670" w:type="pct"/>
          </w:tcPr>
          <w:p w14:paraId="510F183A"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1" w:type="pct"/>
          </w:tcPr>
          <w:p w14:paraId="4B2154AB"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0" w:type="pct"/>
          </w:tcPr>
          <w:p w14:paraId="58B9F7AA"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1" w:type="pct"/>
          </w:tcPr>
          <w:p w14:paraId="715F22E6"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N/A</w:t>
            </w:r>
          </w:p>
        </w:tc>
        <w:tc>
          <w:tcPr>
            <w:tcW w:w="671" w:type="pct"/>
          </w:tcPr>
          <w:p w14:paraId="69CAD234" w14:textId="77777777" w:rsidR="000A7550" w:rsidRDefault="000A7550"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487249">
              <w:t>$4,689</w:t>
            </w:r>
          </w:p>
        </w:tc>
      </w:tr>
    </w:tbl>
    <w:p w14:paraId="0256D36A" w14:textId="7967FAFC" w:rsidR="00522422" w:rsidRDefault="000A7550" w:rsidP="000A7550">
      <w:pPr>
        <w:pStyle w:val="Tablesmalltext"/>
      </w:pPr>
      <w:r>
        <w:t xml:space="preserve">Source: </w:t>
      </w:r>
      <w:r w:rsidRPr="0016178D">
        <w:rPr>
          <w:b/>
        </w:rPr>
        <w:t xml:space="preserve">Technical Report G: </w:t>
      </w:r>
      <w:r w:rsidR="00CE70BB" w:rsidRPr="0016178D">
        <w:rPr>
          <w:b/>
        </w:rPr>
        <w:t>E</w:t>
      </w:r>
      <w:r w:rsidRPr="0016178D">
        <w:rPr>
          <w:b/>
        </w:rPr>
        <w:t>conomic Impact Assessment</w:t>
      </w:r>
    </w:p>
    <w:p w14:paraId="57F92F7F" w14:textId="77777777" w:rsidR="000A7550" w:rsidRDefault="000A7550" w:rsidP="00AF45F7">
      <w:pPr>
        <w:pStyle w:val="Heading3"/>
      </w:pPr>
      <w:bookmarkStart w:id="19" w:name="_Ref197694009"/>
      <w:bookmarkStart w:id="20" w:name="_Toc201048160"/>
      <w:r>
        <w:t>Employment impacts</w:t>
      </w:r>
      <w:bookmarkEnd w:id="19"/>
      <w:bookmarkEnd w:id="20"/>
    </w:p>
    <w:p w14:paraId="0D9FF881" w14:textId="77777777" w:rsidR="000A7550" w:rsidRDefault="006978B5" w:rsidP="000A7550">
      <w:r w:rsidRPr="006978B5">
        <w:t>The economy-wide analysis reported employment impacts, including consideration of:</w:t>
      </w:r>
    </w:p>
    <w:p w14:paraId="4D0D1D6B" w14:textId="714013A8" w:rsidR="006978B5" w:rsidRDefault="006978B5" w:rsidP="006978B5">
      <w:pPr>
        <w:pStyle w:val="ListBullet"/>
      </w:pPr>
      <w:r>
        <w:t>Jobs required to construct the Project</w:t>
      </w:r>
      <w:r w:rsidR="00873541">
        <w:t>.</w:t>
      </w:r>
    </w:p>
    <w:p w14:paraId="0B2E6053" w14:textId="5CA7029B" w:rsidR="006978B5" w:rsidRDefault="006978B5" w:rsidP="006978B5">
      <w:pPr>
        <w:pStyle w:val="ListBullet"/>
      </w:pPr>
      <w:r>
        <w:t>Additional employment in the upstream and downstream industries providing goods or services during construction</w:t>
      </w:r>
      <w:r w:rsidR="00873541">
        <w:t>.</w:t>
      </w:r>
    </w:p>
    <w:p w14:paraId="0D320A73" w14:textId="77777777" w:rsidR="006978B5" w:rsidRDefault="006978B5" w:rsidP="006978B5">
      <w:pPr>
        <w:pStyle w:val="ListBullet"/>
      </w:pPr>
      <w:r>
        <w:t>Negative impacts to employment in the study area.</w:t>
      </w:r>
    </w:p>
    <w:p w14:paraId="53C79D64" w14:textId="77777777" w:rsidR="006978B5" w:rsidRDefault="006978B5" w:rsidP="006978B5">
      <w:r>
        <w:t xml:space="preserve">The modelled Project employment impacts during the development stage, construction stage and five years following construction are outlined in </w:t>
      </w:r>
      <w:r w:rsidR="0041705A">
        <w:fldChar w:fldCharType="begin"/>
      </w:r>
      <w:r w:rsidR="0041705A">
        <w:instrText xml:space="preserve"> REF _Ref197693774 \h </w:instrText>
      </w:r>
      <w:r w:rsidR="0041705A">
        <w:fldChar w:fldCharType="separate"/>
      </w:r>
      <w:r w:rsidR="0041705A">
        <w:t xml:space="preserve">Table </w:t>
      </w:r>
      <w:r w:rsidR="0041705A">
        <w:rPr>
          <w:noProof/>
        </w:rPr>
        <w:t>14</w:t>
      </w:r>
      <w:r w:rsidR="0041705A">
        <w:t>.</w:t>
      </w:r>
      <w:r w:rsidR="0041705A">
        <w:rPr>
          <w:noProof/>
        </w:rPr>
        <w:t>2</w:t>
      </w:r>
      <w:r w:rsidR="0041705A">
        <w:fldChar w:fldCharType="end"/>
      </w:r>
      <w:r>
        <w:t>.</w:t>
      </w:r>
    </w:p>
    <w:p w14:paraId="2BEDE756" w14:textId="77777777" w:rsidR="006978B5" w:rsidRDefault="006978B5" w:rsidP="006978B5">
      <w:r>
        <w:t>The Project will contribute to economic opportunities in the study area, including increased employment. New employment in the study area induced by the Project was modelled to peak in 2028 at 346 workers. Total employment in Victoria due to the Project was modelled to peak in the same year at 2,089 workers. Beyond the construction stage, a large amount of renewable energy investment is anticipated to be attracted to Victoria due to the increased transmission capacity provided by the Project. This contributes to additional employment catalysed by the Project, but not directly related to the Project construction. Following this, there is expected to be a relatively slow fall back to base case employment by 2032. This effect is typical in CGE modelling, as employment in the long-term is determined by demographic fundamentals, rather than individual projects.</w:t>
      </w:r>
    </w:p>
    <w:p w14:paraId="60D09832" w14:textId="77777777" w:rsidR="006978B5" w:rsidRDefault="006978B5" w:rsidP="006978B5">
      <w:pPr>
        <w:pStyle w:val="Caption"/>
        <w:keepNext/>
      </w:pPr>
      <w:bookmarkStart w:id="21" w:name="_Ref197693774"/>
      <w:r>
        <w:t xml:space="preserve">Table </w:t>
      </w:r>
      <w:fldSimple w:instr=" STYLEREF 1 \s ">
        <w:r w:rsidR="007932B9">
          <w:rPr>
            <w:noProof/>
          </w:rPr>
          <w:t>14</w:t>
        </w:r>
      </w:fldSimple>
      <w:r w:rsidR="007932B9">
        <w:t>.</w:t>
      </w:r>
      <w:fldSimple w:instr=" SEQ Table \* ARABIC \s 1 ">
        <w:r w:rsidR="007932B9">
          <w:rPr>
            <w:noProof/>
          </w:rPr>
          <w:t>2</w:t>
        </w:r>
      </w:fldSimple>
      <w:bookmarkEnd w:id="21"/>
      <w:r>
        <w:t xml:space="preserve"> Project employment impacts (in number of full-time equivalent </w:t>
      </w:r>
      <w:r w:rsidR="008F410A">
        <w:t>personnel) *</w:t>
      </w:r>
    </w:p>
    <w:tbl>
      <w:tblPr>
        <w:tblStyle w:val="WVTTable2"/>
        <w:tblW w:w="5000" w:type="pct"/>
        <w:tblLook w:val="04A0" w:firstRow="1" w:lastRow="0" w:firstColumn="1" w:lastColumn="0" w:noHBand="0" w:noVBand="1"/>
      </w:tblPr>
      <w:tblGrid>
        <w:gridCol w:w="1698"/>
        <w:gridCol w:w="1564"/>
        <w:gridCol w:w="2122"/>
        <w:gridCol w:w="1843"/>
        <w:gridCol w:w="1843"/>
      </w:tblGrid>
      <w:tr w:rsidR="006978B5" w14:paraId="4A7E618D" w14:textId="77777777" w:rsidTr="00FE11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 w:type="pct"/>
          </w:tcPr>
          <w:p w14:paraId="3D6B9AB8" w14:textId="77777777" w:rsidR="006978B5" w:rsidRDefault="006978B5" w:rsidP="00C37EE0">
            <w:pPr>
              <w:pStyle w:val="TableText"/>
              <w:spacing w:after="0"/>
            </w:pPr>
            <w:r w:rsidRPr="00A61EE3">
              <w:t>Financial year</w:t>
            </w:r>
          </w:p>
        </w:tc>
        <w:tc>
          <w:tcPr>
            <w:tcW w:w="862" w:type="pct"/>
          </w:tcPr>
          <w:p w14:paraId="641B558A" w14:textId="77777777" w:rsidR="006978B5" w:rsidRDefault="006978B5"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A61EE3">
              <w:t>Study area</w:t>
            </w:r>
          </w:p>
        </w:tc>
        <w:tc>
          <w:tcPr>
            <w:tcW w:w="1170" w:type="pct"/>
          </w:tcPr>
          <w:p w14:paraId="07AD8107" w14:textId="77777777" w:rsidR="006978B5" w:rsidRDefault="006978B5"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A61EE3">
              <w:t>Rest of western Victoria</w:t>
            </w:r>
          </w:p>
        </w:tc>
        <w:tc>
          <w:tcPr>
            <w:tcW w:w="1016" w:type="pct"/>
          </w:tcPr>
          <w:p w14:paraId="263BA09E" w14:textId="77777777" w:rsidR="006978B5" w:rsidRDefault="006978B5"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A61EE3">
              <w:t>Rest of Victoria</w:t>
            </w:r>
          </w:p>
        </w:tc>
        <w:tc>
          <w:tcPr>
            <w:tcW w:w="1016" w:type="pct"/>
          </w:tcPr>
          <w:p w14:paraId="588D9448" w14:textId="77777777" w:rsidR="006978B5" w:rsidRDefault="006978B5" w:rsidP="00C37EE0">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A61EE3">
              <w:t>Victoria total*</w:t>
            </w:r>
          </w:p>
        </w:tc>
      </w:tr>
      <w:tr w:rsidR="006978B5" w14:paraId="0C792325" w14:textId="77777777" w:rsidTr="00FE11EF">
        <w:tc>
          <w:tcPr>
            <w:cnfStyle w:val="001000000000" w:firstRow="0" w:lastRow="0" w:firstColumn="1" w:lastColumn="0" w:oddVBand="0" w:evenVBand="0" w:oddHBand="0" w:evenHBand="0" w:firstRowFirstColumn="0" w:firstRowLastColumn="0" w:lastRowFirstColumn="0" w:lastRowLastColumn="0"/>
            <w:tcW w:w="936" w:type="pct"/>
          </w:tcPr>
          <w:p w14:paraId="6D713E6E" w14:textId="77777777" w:rsidR="006978B5" w:rsidRDefault="006978B5" w:rsidP="00C37EE0">
            <w:pPr>
              <w:pStyle w:val="TableText"/>
              <w:spacing w:after="0"/>
            </w:pPr>
            <w:r w:rsidRPr="00925BE3">
              <w:t>2024</w:t>
            </w:r>
          </w:p>
        </w:tc>
        <w:tc>
          <w:tcPr>
            <w:tcW w:w="862" w:type="pct"/>
          </w:tcPr>
          <w:p w14:paraId="2C74E47E"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14</w:t>
            </w:r>
          </w:p>
        </w:tc>
        <w:tc>
          <w:tcPr>
            <w:tcW w:w="1170" w:type="pct"/>
          </w:tcPr>
          <w:p w14:paraId="1B6E8A38"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28</w:t>
            </w:r>
          </w:p>
        </w:tc>
        <w:tc>
          <w:tcPr>
            <w:tcW w:w="1016" w:type="pct"/>
          </w:tcPr>
          <w:p w14:paraId="7AB95504"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116</w:t>
            </w:r>
          </w:p>
        </w:tc>
        <w:tc>
          <w:tcPr>
            <w:tcW w:w="1016" w:type="pct"/>
          </w:tcPr>
          <w:p w14:paraId="32FF7004"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158</w:t>
            </w:r>
          </w:p>
        </w:tc>
      </w:tr>
      <w:tr w:rsidR="006978B5" w14:paraId="50AEBE0B" w14:textId="77777777" w:rsidTr="00FE1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1E46062E" w14:textId="77777777" w:rsidR="006978B5" w:rsidRDefault="006978B5" w:rsidP="00C37EE0">
            <w:pPr>
              <w:pStyle w:val="TableText"/>
              <w:spacing w:after="0"/>
            </w:pPr>
            <w:r w:rsidRPr="00925BE3">
              <w:t>2025</w:t>
            </w:r>
          </w:p>
        </w:tc>
        <w:tc>
          <w:tcPr>
            <w:tcW w:w="862" w:type="pct"/>
          </w:tcPr>
          <w:p w14:paraId="7F67CDFA"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20</w:t>
            </w:r>
          </w:p>
        </w:tc>
        <w:tc>
          <w:tcPr>
            <w:tcW w:w="1170" w:type="pct"/>
          </w:tcPr>
          <w:p w14:paraId="4C55E3A9"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40</w:t>
            </w:r>
          </w:p>
        </w:tc>
        <w:tc>
          <w:tcPr>
            <w:tcW w:w="1016" w:type="pct"/>
          </w:tcPr>
          <w:p w14:paraId="160B9D58"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164</w:t>
            </w:r>
          </w:p>
        </w:tc>
        <w:tc>
          <w:tcPr>
            <w:tcW w:w="1016" w:type="pct"/>
          </w:tcPr>
          <w:p w14:paraId="569FEF5E"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224</w:t>
            </w:r>
          </w:p>
        </w:tc>
      </w:tr>
      <w:tr w:rsidR="006978B5" w14:paraId="396918C2" w14:textId="77777777" w:rsidTr="00FE11EF">
        <w:tc>
          <w:tcPr>
            <w:cnfStyle w:val="001000000000" w:firstRow="0" w:lastRow="0" w:firstColumn="1" w:lastColumn="0" w:oddVBand="0" w:evenVBand="0" w:oddHBand="0" w:evenHBand="0" w:firstRowFirstColumn="0" w:firstRowLastColumn="0" w:lastRowFirstColumn="0" w:lastRowLastColumn="0"/>
            <w:tcW w:w="936" w:type="pct"/>
          </w:tcPr>
          <w:p w14:paraId="5ABD7E1E" w14:textId="77777777" w:rsidR="006978B5" w:rsidRDefault="006978B5" w:rsidP="00C37EE0">
            <w:pPr>
              <w:pStyle w:val="TableText"/>
              <w:spacing w:after="0"/>
            </w:pPr>
            <w:r w:rsidRPr="00925BE3">
              <w:t>2026</w:t>
            </w:r>
          </w:p>
        </w:tc>
        <w:tc>
          <w:tcPr>
            <w:tcW w:w="862" w:type="pct"/>
          </w:tcPr>
          <w:p w14:paraId="329C21BC"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22</w:t>
            </w:r>
          </w:p>
        </w:tc>
        <w:tc>
          <w:tcPr>
            <w:tcW w:w="1170" w:type="pct"/>
          </w:tcPr>
          <w:p w14:paraId="2AC70529"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45</w:t>
            </w:r>
          </w:p>
        </w:tc>
        <w:tc>
          <w:tcPr>
            <w:tcW w:w="1016" w:type="pct"/>
          </w:tcPr>
          <w:p w14:paraId="301DC3E5"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185</w:t>
            </w:r>
          </w:p>
        </w:tc>
        <w:tc>
          <w:tcPr>
            <w:tcW w:w="1016" w:type="pct"/>
          </w:tcPr>
          <w:p w14:paraId="00F10568"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253</w:t>
            </w:r>
          </w:p>
        </w:tc>
      </w:tr>
      <w:tr w:rsidR="006978B5" w14:paraId="4137ED0F" w14:textId="77777777" w:rsidTr="00FE1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0FE7AA3D" w14:textId="77777777" w:rsidR="006978B5" w:rsidRDefault="006978B5" w:rsidP="00C37EE0">
            <w:pPr>
              <w:pStyle w:val="TableText"/>
              <w:spacing w:after="0"/>
            </w:pPr>
            <w:r w:rsidRPr="00925BE3">
              <w:t>2027</w:t>
            </w:r>
          </w:p>
        </w:tc>
        <w:tc>
          <w:tcPr>
            <w:tcW w:w="862" w:type="pct"/>
          </w:tcPr>
          <w:p w14:paraId="457AAA58"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264</w:t>
            </w:r>
          </w:p>
        </w:tc>
        <w:tc>
          <w:tcPr>
            <w:tcW w:w="1170" w:type="pct"/>
          </w:tcPr>
          <w:p w14:paraId="0DE5D70D"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196</w:t>
            </w:r>
          </w:p>
        </w:tc>
        <w:tc>
          <w:tcPr>
            <w:tcW w:w="1016" w:type="pct"/>
          </w:tcPr>
          <w:p w14:paraId="4577C279"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623</w:t>
            </w:r>
          </w:p>
        </w:tc>
        <w:tc>
          <w:tcPr>
            <w:tcW w:w="1016" w:type="pct"/>
          </w:tcPr>
          <w:p w14:paraId="1E6C7101"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1,083</w:t>
            </w:r>
          </w:p>
        </w:tc>
      </w:tr>
      <w:tr w:rsidR="006978B5" w14:paraId="0D8AFA1B" w14:textId="77777777" w:rsidTr="0016178D">
        <w:tc>
          <w:tcPr>
            <w:cnfStyle w:val="001000000000" w:firstRow="0" w:lastRow="0" w:firstColumn="1" w:lastColumn="0" w:oddVBand="0" w:evenVBand="0" w:oddHBand="0" w:evenHBand="0" w:firstRowFirstColumn="0" w:firstRowLastColumn="0" w:lastRowFirstColumn="0" w:lastRowLastColumn="0"/>
            <w:tcW w:w="0" w:type="pct"/>
            <w:tcBorders>
              <w:bottom w:val="single" w:sz="8" w:space="0" w:color="FFFFFF" w:themeColor="background1"/>
            </w:tcBorders>
          </w:tcPr>
          <w:p w14:paraId="198E2D0C" w14:textId="77777777" w:rsidR="006978B5" w:rsidRDefault="006978B5" w:rsidP="00C37EE0">
            <w:pPr>
              <w:pStyle w:val="TableText"/>
              <w:spacing w:after="0"/>
            </w:pPr>
            <w:r w:rsidRPr="00925BE3">
              <w:t>2028</w:t>
            </w:r>
          </w:p>
        </w:tc>
        <w:tc>
          <w:tcPr>
            <w:tcW w:w="0" w:type="pct"/>
            <w:tcBorders>
              <w:bottom w:val="single" w:sz="8" w:space="0" w:color="FFFFFF" w:themeColor="background1"/>
            </w:tcBorders>
          </w:tcPr>
          <w:p w14:paraId="7E62DB9B"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346</w:t>
            </w:r>
          </w:p>
        </w:tc>
        <w:tc>
          <w:tcPr>
            <w:tcW w:w="0" w:type="pct"/>
            <w:tcBorders>
              <w:bottom w:val="single" w:sz="8" w:space="0" w:color="FFFFFF" w:themeColor="background1"/>
            </w:tcBorders>
          </w:tcPr>
          <w:p w14:paraId="318FB6A1"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377</w:t>
            </w:r>
          </w:p>
        </w:tc>
        <w:tc>
          <w:tcPr>
            <w:tcW w:w="0" w:type="pct"/>
            <w:tcBorders>
              <w:bottom w:val="single" w:sz="8" w:space="0" w:color="FFFFFF" w:themeColor="background1"/>
            </w:tcBorders>
          </w:tcPr>
          <w:p w14:paraId="715E18ED"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1,366</w:t>
            </w:r>
          </w:p>
        </w:tc>
        <w:tc>
          <w:tcPr>
            <w:tcW w:w="0" w:type="pct"/>
            <w:tcBorders>
              <w:bottom w:val="single" w:sz="8" w:space="0" w:color="FFFFFF" w:themeColor="background1"/>
            </w:tcBorders>
          </w:tcPr>
          <w:p w14:paraId="41EF1F27"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6C4E28">
              <w:t>2,089</w:t>
            </w:r>
          </w:p>
        </w:tc>
      </w:tr>
      <w:tr w:rsidR="006978B5" w14:paraId="79039FF1" w14:textId="77777777" w:rsidTr="00161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FFFFFF" w:themeColor="background1"/>
              <w:bottom w:val="nil"/>
            </w:tcBorders>
          </w:tcPr>
          <w:p w14:paraId="27A9969B" w14:textId="77777777" w:rsidR="006978B5" w:rsidRDefault="006978B5" w:rsidP="00C37EE0">
            <w:pPr>
              <w:pStyle w:val="TableText"/>
              <w:spacing w:after="0"/>
            </w:pPr>
            <w:r w:rsidRPr="00925BE3">
              <w:t>2029</w:t>
            </w:r>
          </w:p>
        </w:tc>
        <w:tc>
          <w:tcPr>
            <w:tcW w:w="0" w:type="pct"/>
            <w:tcBorders>
              <w:top w:val="single" w:sz="8" w:space="0" w:color="FFFFFF" w:themeColor="background1"/>
              <w:bottom w:val="nil"/>
            </w:tcBorders>
          </w:tcPr>
          <w:p w14:paraId="30038603"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120</w:t>
            </w:r>
          </w:p>
        </w:tc>
        <w:tc>
          <w:tcPr>
            <w:tcW w:w="0" w:type="pct"/>
            <w:tcBorders>
              <w:top w:val="single" w:sz="8" w:space="0" w:color="FFFFFF" w:themeColor="background1"/>
              <w:bottom w:val="nil"/>
            </w:tcBorders>
          </w:tcPr>
          <w:p w14:paraId="1238E26E"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130</w:t>
            </w:r>
          </w:p>
        </w:tc>
        <w:tc>
          <w:tcPr>
            <w:tcW w:w="0" w:type="pct"/>
            <w:tcBorders>
              <w:top w:val="single" w:sz="8" w:space="0" w:color="FFFFFF" w:themeColor="background1"/>
              <w:bottom w:val="nil"/>
            </w:tcBorders>
          </w:tcPr>
          <w:p w14:paraId="2B53586D"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472</w:t>
            </w:r>
          </w:p>
        </w:tc>
        <w:tc>
          <w:tcPr>
            <w:tcW w:w="0" w:type="pct"/>
            <w:tcBorders>
              <w:top w:val="single" w:sz="8" w:space="0" w:color="FFFFFF" w:themeColor="background1"/>
              <w:bottom w:val="nil"/>
            </w:tcBorders>
          </w:tcPr>
          <w:p w14:paraId="3774057F"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6C4E28">
              <w:t>722</w:t>
            </w:r>
          </w:p>
        </w:tc>
      </w:tr>
      <w:tr w:rsidR="006978B5" w14:paraId="13E5FB6E" w14:textId="77777777" w:rsidTr="0016178D">
        <w:tc>
          <w:tcPr>
            <w:cnfStyle w:val="001000000000" w:firstRow="0" w:lastRow="0" w:firstColumn="1" w:lastColumn="0" w:oddVBand="0" w:evenVBand="0" w:oddHBand="0" w:evenHBand="0" w:firstRowFirstColumn="0" w:firstRowLastColumn="0" w:lastRowFirstColumn="0" w:lastRowLastColumn="0"/>
            <w:tcW w:w="0" w:type="pct"/>
            <w:tcBorders>
              <w:top w:val="nil"/>
            </w:tcBorders>
          </w:tcPr>
          <w:p w14:paraId="1B1BD358" w14:textId="77777777" w:rsidR="006978B5" w:rsidRDefault="006978B5" w:rsidP="00C37EE0">
            <w:pPr>
              <w:pStyle w:val="TableText"/>
              <w:spacing w:after="0"/>
            </w:pPr>
            <w:r w:rsidRPr="00B65045">
              <w:lastRenderedPageBreak/>
              <w:t>2030</w:t>
            </w:r>
          </w:p>
        </w:tc>
        <w:tc>
          <w:tcPr>
            <w:tcW w:w="0" w:type="pct"/>
            <w:tcBorders>
              <w:top w:val="nil"/>
            </w:tcBorders>
          </w:tcPr>
          <w:p w14:paraId="158794F0"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36</w:t>
            </w:r>
          </w:p>
        </w:tc>
        <w:tc>
          <w:tcPr>
            <w:tcW w:w="0" w:type="pct"/>
            <w:tcBorders>
              <w:top w:val="nil"/>
            </w:tcBorders>
          </w:tcPr>
          <w:p w14:paraId="0D6976FC"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39</w:t>
            </w:r>
          </w:p>
        </w:tc>
        <w:tc>
          <w:tcPr>
            <w:tcW w:w="0" w:type="pct"/>
            <w:tcBorders>
              <w:top w:val="nil"/>
            </w:tcBorders>
          </w:tcPr>
          <w:p w14:paraId="22065314"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143</w:t>
            </w:r>
          </w:p>
        </w:tc>
        <w:tc>
          <w:tcPr>
            <w:tcW w:w="0" w:type="pct"/>
            <w:tcBorders>
              <w:top w:val="nil"/>
            </w:tcBorders>
          </w:tcPr>
          <w:p w14:paraId="67ADDC36"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218</w:t>
            </w:r>
          </w:p>
        </w:tc>
      </w:tr>
      <w:tr w:rsidR="006978B5" w14:paraId="6CFF906A" w14:textId="77777777" w:rsidTr="00FE1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78EB6F71" w14:textId="77777777" w:rsidR="006978B5" w:rsidRDefault="006978B5" w:rsidP="00C37EE0">
            <w:pPr>
              <w:pStyle w:val="TableText"/>
              <w:spacing w:after="0"/>
            </w:pPr>
            <w:r w:rsidRPr="00B65045">
              <w:t>2031</w:t>
            </w:r>
          </w:p>
        </w:tc>
        <w:tc>
          <w:tcPr>
            <w:tcW w:w="862" w:type="pct"/>
          </w:tcPr>
          <w:p w14:paraId="7B1F4300"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48</w:t>
            </w:r>
          </w:p>
        </w:tc>
        <w:tc>
          <w:tcPr>
            <w:tcW w:w="1170" w:type="pct"/>
          </w:tcPr>
          <w:p w14:paraId="795A4810"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52</w:t>
            </w:r>
          </w:p>
        </w:tc>
        <w:tc>
          <w:tcPr>
            <w:tcW w:w="1016" w:type="pct"/>
          </w:tcPr>
          <w:p w14:paraId="178B91C4"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189</w:t>
            </w:r>
          </w:p>
        </w:tc>
        <w:tc>
          <w:tcPr>
            <w:tcW w:w="1016" w:type="pct"/>
          </w:tcPr>
          <w:p w14:paraId="6063BABB"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290</w:t>
            </w:r>
          </w:p>
        </w:tc>
      </w:tr>
      <w:tr w:rsidR="006978B5" w14:paraId="4868AEE8" w14:textId="77777777" w:rsidTr="0016178D">
        <w:tc>
          <w:tcPr>
            <w:cnfStyle w:val="001000000000" w:firstRow="0" w:lastRow="0" w:firstColumn="1" w:lastColumn="0" w:oddVBand="0" w:evenVBand="0" w:oddHBand="0" w:evenHBand="0" w:firstRowFirstColumn="0" w:firstRowLastColumn="0" w:lastRowFirstColumn="0" w:lastRowLastColumn="0"/>
            <w:tcW w:w="0" w:type="pct"/>
            <w:tcBorders>
              <w:bottom w:val="single" w:sz="8" w:space="0" w:color="FFFFFF" w:themeColor="background1"/>
            </w:tcBorders>
          </w:tcPr>
          <w:p w14:paraId="235435B6" w14:textId="77777777" w:rsidR="006978B5" w:rsidRDefault="006978B5" w:rsidP="00C37EE0">
            <w:pPr>
              <w:pStyle w:val="TableText"/>
              <w:spacing w:after="0"/>
            </w:pPr>
            <w:r w:rsidRPr="00B65045">
              <w:t>2032</w:t>
            </w:r>
          </w:p>
        </w:tc>
        <w:tc>
          <w:tcPr>
            <w:tcW w:w="0" w:type="pct"/>
            <w:tcBorders>
              <w:bottom w:val="single" w:sz="8" w:space="0" w:color="FFFFFF" w:themeColor="background1"/>
            </w:tcBorders>
          </w:tcPr>
          <w:p w14:paraId="709D3CB0"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34</w:t>
            </w:r>
          </w:p>
        </w:tc>
        <w:tc>
          <w:tcPr>
            <w:tcW w:w="0" w:type="pct"/>
            <w:tcBorders>
              <w:bottom w:val="single" w:sz="8" w:space="0" w:color="FFFFFF" w:themeColor="background1"/>
            </w:tcBorders>
          </w:tcPr>
          <w:p w14:paraId="5B2E2745"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-29</w:t>
            </w:r>
          </w:p>
        </w:tc>
        <w:tc>
          <w:tcPr>
            <w:tcW w:w="0" w:type="pct"/>
            <w:tcBorders>
              <w:bottom w:val="single" w:sz="8" w:space="0" w:color="FFFFFF" w:themeColor="background1"/>
            </w:tcBorders>
          </w:tcPr>
          <w:p w14:paraId="14A55B4F"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-78</w:t>
            </w:r>
          </w:p>
        </w:tc>
        <w:tc>
          <w:tcPr>
            <w:tcW w:w="0" w:type="pct"/>
            <w:tcBorders>
              <w:bottom w:val="single" w:sz="8" w:space="0" w:color="FFFFFF" w:themeColor="background1"/>
            </w:tcBorders>
          </w:tcPr>
          <w:p w14:paraId="26ACA5FD" w14:textId="77777777" w:rsidR="006978B5" w:rsidRDefault="006978B5" w:rsidP="00C37EE0">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4AFA">
              <w:t>-73</w:t>
            </w:r>
          </w:p>
        </w:tc>
      </w:tr>
      <w:tr w:rsidR="006978B5" w14:paraId="29E8DD0B" w14:textId="77777777" w:rsidTr="00161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FFFFFF" w:themeColor="background1"/>
              <w:bottom w:val="nil"/>
            </w:tcBorders>
          </w:tcPr>
          <w:p w14:paraId="730AC582" w14:textId="77777777" w:rsidR="006978B5" w:rsidRDefault="006978B5" w:rsidP="00C37EE0">
            <w:pPr>
              <w:pStyle w:val="TableText"/>
              <w:spacing w:after="0"/>
            </w:pPr>
            <w:r w:rsidRPr="00B65045">
              <w:t>2033</w:t>
            </w:r>
          </w:p>
        </w:tc>
        <w:tc>
          <w:tcPr>
            <w:tcW w:w="0" w:type="pct"/>
            <w:tcBorders>
              <w:top w:val="single" w:sz="8" w:space="0" w:color="FFFFFF" w:themeColor="background1"/>
              <w:bottom w:val="nil"/>
            </w:tcBorders>
          </w:tcPr>
          <w:p w14:paraId="7F47F426"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-34</w:t>
            </w:r>
          </w:p>
        </w:tc>
        <w:tc>
          <w:tcPr>
            <w:tcW w:w="0" w:type="pct"/>
            <w:tcBorders>
              <w:top w:val="single" w:sz="8" w:space="0" w:color="FFFFFF" w:themeColor="background1"/>
              <w:bottom w:val="nil"/>
            </w:tcBorders>
          </w:tcPr>
          <w:p w14:paraId="066E539D"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29</w:t>
            </w:r>
          </w:p>
        </w:tc>
        <w:tc>
          <w:tcPr>
            <w:tcW w:w="0" w:type="pct"/>
            <w:tcBorders>
              <w:top w:val="single" w:sz="8" w:space="0" w:color="FFFFFF" w:themeColor="background1"/>
              <w:bottom w:val="nil"/>
            </w:tcBorders>
          </w:tcPr>
          <w:p w14:paraId="518A609C"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79</w:t>
            </w:r>
          </w:p>
        </w:tc>
        <w:tc>
          <w:tcPr>
            <w:tcW w:w="0" w:type="pct"/>
            <w:tcBorders>
              <w:top w:val="single" w:sz="8" w:space="0" w:color="FFFFFF" w:themeColor="background1"/>
              <w:bottom w:val="nil"/>
            </w:tcBorders>
          </w:tcPr>
          <w:p w14:paraId="44A931D0" w14:textId="77777777" w:rsidR="006978B5" w:rsidRDefault="006978B5" w:rsidP="00C37EE0">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934AFA">
              <w:t>74</w:t>
            </w:r>
          </w:p>
        </w:tc>
      </w:tr>
    </w:tbl>
    <w:p w14:paraId="6574B8B9" w14:textId="77777777" w:rsidR="008F410A" w:rsidRDefault="006978B5" w:rsidP="008F410A">
      <w:pPr>
        <w:pStyle w:val="Tablesmalltext"/>
        <w:spacing w:after="0"/>
      </w:pPr>
      <w:r>
        <w:t xml:space="preserve">Source: </w:t>
      </w:r>
      <w:r w:rsidRPr="0016178D">
        <w:rPr>
          <w:b/>
        </w:rPr>
        <w:t>Technical Report G: Economic Impact Assessment</w:t>
      </w:r>
      <w:r>
        <w:t xml:space="preserve"> </w:t>
      </w:r>
    </w:p>
    <w:p w14:paraId="49DF8738" w14:textId="77777777" w:rsidR="006978B5" w:rsidRDefault="006978B5" w:rsidP="008F410A">
      <w:pPr>
        <w:pStyle w:val="Tablesmalltext"/>
        <w:spacing w:before="0"/>
      </w:pPr>
      <w:r>
        <w:t>* Figures may not sum due to rounding</w:t>
      </w:r>
    </w:p>
    <w:p w14:paraId="1F534C68" w14:textId="77777777" w:rsidR="008F410A" w:rsidRDefault="008F410A" w:rsidP="008F410A">
      <w:pPr>
        <w:pStyle w:val="Heading2"/>
      </w:pPr>
      <w:bookmarkStart w:id="22" w:name="_Ref197693847"/>
      <w:bookmarkStart w:id="23" w:name="_Toc201048161"/>
      <w:r>
        <w:t>Business impact analysis</w:t>
      </w:r>
      <w:bookmarkEnd w:id="22"/>
      <w:bookmarkEnd w:id="23"/>
    </w:p>
    <w:p w14:paraId="59A6FC2F" w14:textId="77777777" w:rsidR="008F410A" w:rsidRDefault="008F410A" w:rsidP="008F410A">
      <w:r w:rsidRPr="008F410A">
        <w:t>This section outlines the key issues identified through the risk screening process and associated potential business impacts during the construction, operation and decommissioning of the Project.</w:t>
      </w:r>
    </w:p>
    <w:p w14:paraId="76257F12" w14:textId="77777777" w:rsidR="008F410A" w:rsidRDefault="008F410A" w:rsidP="008F410A">
      <w:pPr>
        <w:pStyle w:val="Heading3"/>
      </w:pPr>
      <w:bookmarkStart w:id="24" w:name="_Toc201048162"/>
      <w:r>
        <w:t>Construction impacts</w:t>
      </w:r>
      <w:bookmarkEnd w:id="24"/>
    </w:p>
    <w:p w14:paraId="1788DA3D" w14:textId="77777777" w:rsidR="008F410A" w:rsidRDefault="008F410A" w:rsidP="008F410A">
      <w:r>
        <w:t xml:space="preserve">Within 2km of the Project, the ‘Accommodation and Food Services’ and ‘Arts and Recreation Services’ industries were identified as being subject to potential negative impacts from Project construction. </w:t>
      </w:r>
      <w:r w:rsidR="00BE2438" w:rsidRPr="00BE2438">
        <w:t xml:space="preserve">There are 27 businesses in the ‘Accommodation and Food Services’ industry and 21 businesses in the ‘Arts and Recreation Services’ industry within 2km of the Project (see </w:t>
      </w:r>
      <w:r w:rsidR="00BE2438" w:rsidRPr="003A1B04">
        <w:rPr>
          <w:b/>
          <w:bCs/>
        </w:rPr>
        <w:t>Technical Report G: Economic Impact Assessment</w:t>
      </w:r>
      <w:r w:rsidR="00BE2438" w:rsidRPr="00BE2438">
        <w:t xml:space="preserve">). </w:t>
      </w:r>
      <w:r>
        <w:t>Businesses in these industries may experience negative impacts from construction noise, traffic and visual amenity impacts, leading to reduced visitation. These businesses may include, for example, golf clubs, equestrian academies, cellar doors and bed and breakfast accommodation. The actual impacts experienced by each individual business will depend on its specific characteristics, including viewpoints impacted, proximity to the Project and operating hours. Impacts on businesses in these industries within 2km of the Project are expected to be highly localised and short-term. Due to the proposed staggered approach to construction, areas should on average be affected for nine to 22 weeks over a two-year period. Overall, a net negative economic impact may be experienced for businesses in these industries operating within 2km of the Project.</w:t>
      </w:r>
      <w:r w:rsidR="000F749A" w:rsidRPr="000F749A">
        <w:t xml:space="preserve"> EPRs were developed to manage and reduce the potential negative impacts of the Project’s construction stage on businesses in the ‘Accommodation and Food Services’ and ‘Arts and Recreation Services’ industries. These include the development and implementation of a Business Mitigation and Support Strategy for directly affected businesses (EPR EC1) and a Business Mitigation and Support Strategy for businesses within 2km of the Project (EPR EC3). These strategies will identify, offer and implement any practicable mitigation measures that could be applied to lessen the impacts of the Project on the business (both infrastructure and day to day operations), or that may otherwise support the business.</w:t>
      </w:r>
    </w:p>
    <w:p w14:paraId="78292402" w14:textId="77777777" w:rsidR="008F410A" w:rsidRDefault="008F410A" w:rsidP="008F410A">
      <w:r>
        <w:t xml:space="preserve">The ‘Manufacturing’ industry was identified as potentially experiencing a positive impact during construction, associated with the procurement of key Project materials from businesses within the study area, such as concrete and steel. </w:t>
      </w:r>
      <w:r w:rsidR="00C056F6" w:rsidRPr="00C056F6">
        <w:t xml:space="preserve">There are 1,197 ‘Manufacturing’ businesses in the study area (see </w:t>
      </w:r>
      <w:r w:rsidR="00C056F6" w:rsidRPr="003A1B04">
        <w:rPr>
          <w:b/>
          <w:bCs/>
        </w:rPr>
        <w:t>Technical Report G: Economic Impact Assessment</w:t>
      </w:r>
      <w:r w:rsidR="00C056F6" w:rsidRPr="00C056F6">
        <w:t>). The positive impact experienced will depend on the extent to which local businesses can be utilised in the delivery of the Project. Business which may experience positive impacts include manufacturers, building and construction material providers, quarries, electricians, and other construction-related businesses.</w:t>
      </w:r>
      <w:r w:rsidR="00C056F6">
        <w:t xml:space="preserve"> </w:t>
      </w:r>
      <w:r>
        <w:t>Overall, a net positive impact may be experienced for businesses in this industry operating in the study area.</w:t>
      </w:r>
      <w:r w:rsidR="00AA0AC4" w:rsidRPr="00AA0AC4">
        <w:t xml:space="preserve"> EPR EC2 was developed to maximise the potential positive impact of the Project’s construction stage on businesses in the ‘Manufacturing’ industry. This EPR includes the development and implementation of initiatives to increase positive social and economic impacts through the procurement of goods and services from local communities and social enterprises, including initiatives and commitments to prioritise to the extent practicable the procurement of goods and services from local businesses, sustainable social enterprises and Aboriginal-owned businesses.</w:t>
      </w:r>
    </w:p>
    <w:p w14:paraId="5D57565D" w14:textId="77777777" w:rsidR="008F410A" w:rsidRDefault="008F410A" w:rsidP="008F410A">
      <w:r>
        <w:t>The ‘Other Services’, ‘Mining’, ‘Transport and Warehousing’, ‘Retail Trade’, ‘Wholesale Trade’, ‘Administrative and Support Services’ and ‘Construction’ industries, along with the ‘Accommodation and Food Services’ and ‘Arts and Recreation Services’ industries beyond 2km from the Project, were assessed as likely to continue usual business operations and be unaffected by Project construction. Therefore, the impact to these industries is considered to be neutral.</w:t>
      </w:r>
    </w:p>
    <w:p w14:paraId="7A990E84" w14:textId="77777777" w:rsidR="008F410A" w:rsidRDefault="008F410A" w:rsidP="008F410A">
      <w:pPr>
        <w:pStyle w:val="Heading3"/>
      </w:pPr>
      <w:bookmarkStart w:id="25" w:name="_Toc201048163"/>
      <w:r>
        <w:lastRenderedPageBreak/>
        <w:t>Operation impacts</w:t>
      </w:r>
      <w:bookmarkEnd w:id="25"/>
    </w:p>
    <w:p w14:paraId="5CCECAE6" w14:textId="77777777" w:rsidR="008F410A" w:rsidRDefault="008F410A" w:rsidP="008F410A">
      <w:r>
        <w:t xml:space="preserve">Significant industry-wide impacts to businesses during Project operation were considered unlikely. Individual businesses in the ‘Accommodation and Food Services’ and ‘Arts and Recreation Services’ industries that </w:t>
      </w:r>
      <w:r w:rsidR="00544827" w:rsidRPr="00544827">
        <w:t xml:space="preserve">are located within 2km of the Project and that </w:t>
      </w:r>
      <w:r>
        <w:t xml:space="preserve">rely on the amenity of the natural landscape to attract visitation to the area may experience negative impacts during operation from reduced visual amenity. </w:t>
      </w:r>
      <w:r w:rsidR="002C19C8" w:rsidRPr="002C19C8">
        <w:t xml:space="preserve">There are 16 businesses in the ‘Accommodation and Food Services’ and ‘Arts and Recreation Services’ located within 2km of the Project that have been identified as potentially susceptible to potential effects on amenity, as they are dependent to some extent on the existing aesthetic quality of their surrounds to attract visitors (see </w:t>
      </w:r>
      <w:r w:rsidR="002C19C8" w:rsidRPr="003A1B04">
        <w:rPr>
          <w:b/>
          <w:bCs/>
        </w:rPr>
        <w:t>Technical Report F: Social Impact Assessment</w:t>
      </w:r>
      <w:r w:rsidR="002C19C8" w:rsidRPr="002C19C8">
        <w:t>). Impacts would be long-term, given the 80-year service life of the transmission line. However, impacts are</w:t>
      </w:r>
      <w:r w:rsidR="002C19C8">
        <w:t xml:space="preserve"> </w:t>
      </w:r>
      <w:r>
        <w:t>likely to be highly localised and business-specific. The industry level effect for the ‘Accommodation and Food Services’ and ‘Arts and Recreation Services’ industries has been assessed as neutral, as many businesses in these industries that do not rely on visual amenity are likely to be unaffected.</w:t>
      </w:r>
      <w:r w:rsidR="00201D01" w:rsidRPr="00201D01">
        <w:t xml:space="preserve"> The Business Mitigation and Support Strategy for directly affected businesses (EPR EC1) and Business Mitigation and Support Strategy for businesses within 2km of the Project (EPR EC3) have been developed to manage and reduce the potential negative impacts of the Project’s operation stage on businesses in the ‘Accommodation and Food Services’ and ‘Arts and Recreation Services’ industries. These strategies will identify, offer and implement any practicable mitigation measures that could be applied to lessen the impacts of the Project on the business (both infrastructure and day to day operations), or that may otherwise support the business.</w:t>
      </w:r>
    </w:p>
    <w:p w14:paraId="044AB798" w14:textId="77777777" w:rsidR="008F410A" w:rsidRDefault="008F410A" w:rsidP="008F410A">
      <w:r>
        <w:t>Other industries operating within the study area are likely to experience a neutral impact during the operation of the Project. Increased renewable generation in the study area as a result of the Project may boost spending and create potential competition for employees in respect of existing wind energy projects and battery energy storage projects, which may impact the ‘Construction’ industry. However, these effects are unlikely to generate a significant net negative or positive impact within the study area, and the net impact to these industries is considered to be neutral.</w:t>
      </w:r>
    </w:p>
    <w:p w14:paraId="4171F41F" w14:textId="77777777" w:rsidR="008F410A" w:rsidRDefault="008F410A" w:rsidP="008F410A">
      <w:pPr>
        <w:pStyle w:val="Heading3"/>
      </w:pPr>
      <w:bookmarkStart w:id="26" w:name="_Toc201048164"/>
      <w:r>
        <w:t>Decommissioning impacts</w:t>
      </w:r>
      <w:bookmarkEnd w:id="26"/>
    </w:p>
    <w:p w14:paraId="4BAF220D" w14:textId="77777777" w:rsidR="008F410A" w:rsidRDefault="008F410A" w:rsidP="008F410A">
      <w:r w:rsidRPr="008F410A">
        <w:t>During decommissioning, similar impacts to those reported during construction are likely to occur, and economic effects during decommissioning are likely to be similar to those experienced during construction. However, the number and profile of businesses in the study area at the end of the Project life are likely to change significantly. While the nature of impacts identified is likely to remain similar to those for construction, the number of businesses impacted could materially change and could affect the assessment of effects. The economy-wide modelling does not estimate potential economic effects of decommissioning the Project, as this is beyond the period of analysis within the CGE model. The CGE modelling reports economy-wide impacts to FY2050.</w:t>
      </w:r>
    </w:p>
    <w:p w14:paraId="18BA2FEE" w14:textId="77777777" w:rsidR="008F410A" w:rsidRDefault="008F410A" w:rsidP="008F410A">
      <w:r w:rsidRPr="008F410A">
        <w:t>Business impacts during decommissioning of the Project are likely to comprise:</w:t>
      </w:r>
    </w:p>
    <w:p w14:paraId="39CD83D2" w14:textId="77777777" w:rsidR="008F410A" w:rsidRDefault="008F410A" w:rsidP="008F410A">
      <w:pPr>
        <w:pStyle w:val="ListBullet"/>
      </w:pPr>
      <w:r>
        <w:t>A largely neutral effect for most industries in the study area.</w:t>
      </w:r>
    </w:p>
    <w:p w14:paraId="1C46D846" w14:textId="77777777" w:rsidR="008F410A" w:rsidRDefault="008F410A" w:rsidP="008F410A">
      <w:pPr>
        <w:pStyle w:val="ListBullet"/>
      </w:pPr>
      <w:r>
        <w:t xml:space="preserve">Potential highly localised negative impacts to businesses within 2km of the Project in the ‘Accommodation and Food Services’ and ‘Arts and Recreation Services’ industries. </w:t>
      </w:r>
    </w:p>
    <w:p w14:paraId="64E3A5C2" w14:textId="77777777" w:rsidR="008F410A" w:rsidRDefault="008F410A" w:rsidP="008F410A">
      <w:pPr>
        <w:pStyle w:val="ListBullet"/>
      </w:pPr>
      <w:r>
        <w:t xml:space="preserve">Potential positive impacts for businesses in the study area, where they experience increased investment in services and materials to facilitate the decommissioning of the Project. </w:t>
      </w:r>
    </w:p>
    <w:p w14:paraId="0C5AE363" w14:textId="33CF889C" w:rsidR="002E6FE7" w:rsidRDefault="002E6FE7" w:rsidP="003A1B04">
      <w:r w:rsidRPr="002E6FE7">
        <w:t xml:space="preserve">Prior to commencement of decommissioning, a Decommissioning Management Plan will be developed and implemented to manage impacts associated with decommissioning of the Project, including economic impacts. Management and mitigation measures included in the Decommissioning Management Plan will be consistent with management strategies, practices, and technologies current at the time (EPR EM11; see </w:t>
      </w:r>
      <w:r w:rsidRPr="003A1B04">
        <w:rPr>
          <w:b/>
          <w:bCs/>
        </w:rPr>
        <w:t>Chapter 29: Environmental Management Framework</w:t>
      </w:r>
      <w:r w:rsidRPr="002E6FE7">
        <w:t>).</w:t>
      </w:r>
    </w:p>
    <w:p w14:paraId="15D213A0" w14:textId="77777777" w:rsidR="008F410A" w:rsidRDefault="008F410A" w:rsidP="00C37EE0">
      <w:pPr>
        <w:pStyle w:val="Heading2"/>
      </w:pPr>
      <w:bookmarkStart w:id="27" w:name="_Ref197693866"/>
      <w:bookmarkStart w:id="28" w:name="_Toc201048165"/>
      <w:r>
        <w:lastRenderedPageBreak/>
        <w:t>Cumulative impacts</w:t>
      </w:r>
      <w:bookmarkEnd w:id="27"/>
      <w:bookmarkEnd w:id="28"/>
    </w:p>
    <w:p w14:paraId="37479F9E" w14:textId="19E5F757" w:rsidR="008F410A" w:rsidRDefault="008F410A" w:rsidP="00C37EE0">
      <w:pPr>
        <w:keepLines/>
      </w:pPr>
      <w:r w:rsidRPr="008F410A">
        <w:t xml:space="preserve">Cumulative impacts have been assessed by identifying relevant future projects that could contribute to cumulative economic impacts, considering their spatial and temporal relationships to the Western Renewables Link Project. The projects considered as potentially relevant are listed in the following sections. Although the potential for cumulative economic impacts depends on the precise timings and sequencing of the Western Renewables Link Project and the listed projects, it is considered unlikely that their impacts would be significant enough to influence the outcomes of this assessment. Specific commentary is included in the following </w:t>
      </w:r>
      <w:r w:rsidR="00063731">
        <w:t>sub-</w:t>
      </w:r>
      <w:r w:rsidRPr="008F410A">
        <w:t>sections.</w:t>
      </w:r>
    </w:p>
    <w:p w14:paraId="51C3369B" w14:textId="77777777" w:rsidR="008F410A" w:rsidRDefault="008F410A" w:rsidP="008F410A">
      <w:pPr>
        <w:pStyle w:val="Heading3"/>
      </w:pPr>
      <w:bookmarkStart w:id="29" w:name="_Toc201048166"/>
      <w:r>
        <w:t>Energy infrastructure projects</w:t>
      </w:r>
      <w:bookmarkEnd w:id="29"/>
    </w:p>
    <w:p w14:paraId="4912B9B7" w14:textId="77777777" w:rsidR="008F410A" w:rsidRDefault="008F410A" w:rsidP="008F410A">
      <w:pPr>
        <w:sectPr w:rsidR="008F410A" w:rsidSect="003A1B04">
          <w:footnotePr>
            <w:numRestart w:val="eachPage"/>
          </w:footnotePr>
          <w:pgSz w:w="11906" w:h="16838" w:code="9"/>
          <w:pgMar w:top="1418" w:right="1418" w:bottom="1418" w:left="1418" w:header="1134" w:footer="340" w:gutter="0"/>
          <w:pgNumType w:chapStyle="1"/>
          <w:cols w:space="708"/>
          <w:docGrid w:linePitch="360"/>
        </w:sectPr>
      </w:pPr>
      <w:r w:rsidRPr="008F410A">
        <w:t>Relevant projects include:</w:t>
      </w:r>
    </w:p>
    <w:p w14:paraId="6E6B8069" w14:textId="77777777" w:rsidR="008F410A" w:rsidRDefault="008F410A" w:rsidP="008F410A">
      <w:pPr>
        <w:pStyle w:val="ListBullet"/>
      </w:pPr>
      <w:r>
        <w:t>Brewster Wind Farm</w:t>
      </w:r>
    </w:p>
    <w:p w14:paraId="2D2A41AB" w14:textId="77777777" w:rsidR="008F410A" w:rsidRDefault="008F410A" w:rsidP="008F410A">
      <w:pPr>
        <w:pStyle w:val="ListBullet"/>
      </w:pPr>
      <w:r>
        <w:t>Elaine Solar Farm</w:t>
      </w:r>
    </w:p>
    <w:p w14:paraId="49260AF9" w14:textId="77777777" w:rsidR="008F410A" w:rsidRDefault="008F410A" w:rsidP="008F410A">
      <w:pPr>
        <w:pStyle w:val="ListBullet"/>
      </w:pPr>
      <w:r>
        <w:t>Melbourne Renewable Energy Hub, Plumpton, Victoria</w:t>
      </w:r>
    </w:p>
    <w:p w14:paraId="537FC1BB" w14:textId="77777777" w:rsidR="008F410A" w:rsidRDefault="008F410A" w:rsidP="008F410A">
      <w:pPr>
        <w:pStyle w:val="ListBullet"/>
      </w:pPr>
      <w:r>
        <w:t>Navarre Green Power Hub</w:t>
      </w:r>
    </w:p>
    <w:p w14:paraId="67380384" w14:textId="77777777" w:rsidR="008F410A" w:rsidRDefault="008F410A" w:rsidP="008F410A">
      <w:pPr>
        <w:pStyle w:val="ListBullet"/>
      </w:pPr>
      <w:r>
        <w:t>Nyaninyuk Wind Farm</w:t>
      </w:r>
    </w:p>
    <w:p w14:paraId="6AEBBDF6" w14:textId="77777777" w:rsidR="008F410A" w:rsidRDefault="008F410A" w:rsidP="008F410A">
      <w:pPr>
        <w:pStyle w:val="ListBullet"/>
      </w:pPr>
      <w:r>
        <w:br w:type="column"/>
      </w:r>
      <w:r>
        <w:t>Powercor Mt Cottrell Zone Substation</w:t>
      </w:r>
    </w:p>
    <w:p w14:paraId="70E36C7E" w14:textId="77777777" w:rsidR="008F410A" w:rsidRDefault="008F410A" w:rsidP="008F410A">
      <w:pPr>
        <w:pStyle w:val="ListBullet"/>
      </w:pPr>
      <w:r>
        <w:t>Sydenham Terminal Station Rebuild</w:t>
      </w:r>
    </w:p>
    <w:p w14:paraId="5FC60DCA" w14:textId="77777777" w:rsidR="008F410A" w:rsidRDefault="008F410A" w:rsidP="008F410A">
      <w:pPr>
        <w:pStyle w:val="ListBullet"/>
      </w:pPr>
      <w:r>
        <w:t>Toolern Vale Solar Farm</w:t>
      </w:r>
    </w:p>
    <w:p w14:paraId="4C0BED80" w14:textId="3BB8989F" w:rsidR="008F410A" w:rsidRDefault="008F410A" w:rsidP="008F410A">
      <w:pPr>
        <w:pStyle w:val="ListBullet"/>
      </w:pPr>
      <w:r>
        <w:t xml:space="preserve">Victoria to New South Wales Interconnector West </w:t>
      </w:r>
    </w:p>
    <w:p w14:paraId="00A32FA8" w14:textId="7D0B368F" w:rsidR="008F410A" w:rsidRDefault="008F410A" w:rsidP="008F410A">
      <w:pPr>
        <w:pStyle w:val="ListBullet"/>
        <w:sectPr w:rsidR="008F410A" w:rsidSect="008F410A">
          <w:footnotePr>
            <w:numRestart w:val="eachPage"/>
          </w:footnotePr>
          <w:type w:val="continuous"/>
          <w:pgSz w:w="11906" w:h="16838" w:code="9"/>
          <w:pgMar w:top="1418" w:right="1418" w:bottom="1418" w:left="1418" w:header="1134" w:footer="340" w:gutter="0"/>
          <w:cols w:num="2" w:space="708"/>
          <w:docGrid w:linePitch="360"/>
        </w:sectPr>
      </w:pPr>
      <w:r>
        <w:t>Watta Wella Renewable Energy Project</w:t>
      </w:r>
      <w:r w:rsidR="00063731">
        <w:t>.</w:t>
      </w:r>
    </w:p>
    <w:p w14:paraId="0F67DF94" w14:textId="77777777" w:rsidR="008F410A" w:rsidRDefault="008F410A" w:rsidP="008F410A">
      <w:r>
        <w:t xml:space="preserve">These projects are most likely to compete for resources with the Western Renewables Link Project. To the extent that these projects compete for investment or local labour, this may increase economic activity in Victoria. </w:t>
      </w:r>
    </w:p>
    <w:p w14:paraId="1EF8F64D" w14:textId="77777777" w:rsidR="008F410A" w:rsidRDefault="008F410A" w:rsidP="008F410A">
      <w:r>
        <w:t>Except for the Sydenham Terminal Station rebuild, these projects will likely have overlapping construction stages with the Western Renewables Link Project, which is likely to contribute to cumulative disruption costs, such as traffic congestion, noise and visual amenity impacts.</w:t>
      </w:r>
    </w:p>
    <w:p w14:paraId="500DBC87" w14:textId="77777777" w:rsidR="008F410A" w:rsidRDefault="008F410A" w:rsidP="008F410A">
      <w:r>
        <w:t>The interconnected nature of these projects, including the Sydenham Terminal Station Rebuild, will contribute to cumulative cost savings in energy generation and storage infrastructure. The Western Renewables Link Project will provide transmission capacity to integrate renewable generation projects and therefore as the number of renewable generation projects feeding into the Western Renewables Link increase, this will result in a lower average cost of provision.</w:t>
      </w:r>
    </w:p>
    <w:p w14:paraId="3A06735A" w14:textId="77777777" w:rsidR="008F410A" w:rsidRDefault="008F410A" w:rsidP="008F410A">
      <w:pPr>
        <w:pStyle w:val="Heading3"/>
      </w:pPr>
      <w:bookmarkStart w:id="30" w:name="_Toc201048167"/>
      <w:r>
        <w:t>Transport infrastructure projects</w:t>
      </w:r>
      <w:bookmarkEnd w:id="30"/>
    </w:p>
    <w:p w14:paraId="24841FDC" w14:textId="77777777" w:rsidR="008F410A" w:rsidRDefault="008F410A" w:rsidP="008F410A">
      <w:pPr>
        <w:sectPr w:rsidR="008F410A" w:rsidSect="008F410A">
          <w:footnotePr>
            <w:numRestart w:val="eachPage"/>
          </w:footnotePr>
          <w:type w:val="continuous"/>
          <w:pgSz w:w="11906" w:h="16838" w:code="9"/>
          <w:pgMar w:top="1418" w:right="1418" w:bottom="1418" w:left="1418" w:header="1134" w:footer="340" w:gutter="0"/>
          <w:cols w:space="708"/>
          <w:docGrid w:linePitch="360"/>
        </w:sectPr>
      </w:pPr>
      <w:r>
        <w:t xml:space="preserve">Relevant projects include: </w:t>
      </w:r>
    </w:p>
    <w:p w14:paraId="7BC6FE6E" w14:textId="77777777" w:rsidR="008F410A" w:rsidRPr="008F410A" w:rsidRDefault="008F410A" w:rsidP="008F410A">
      <w:pPr>
        <w:pStyle w:val="ListBullet"/>
      </w:pPr>
      <w:r w:rsidRPr="008F410A">
        <w:t>2022 Melbourne Airport Masterplan</w:t>
      </w:r>
    </w:p>
    <w:p w14:paraId="1C1BB50E" w14:textId="5443F2B8" w:rsidR="008F410A" w:rsidRDefault="008F410A" w:rsidP="008F410A">
      <w:pPr>
        <w:pStyle w:val="ListBullet"/>
      </w:pPr>
      <w:r>
        <w:t>Melbourne Airport Business Park – Sky Road West Warehouse Developments</w:t>
      </w:r>
    </w:p>
    <w:p w14:paraId="6DFD8D8F" w14:textId="0FB329FC" w:rsidR="008F410A" w:rsidRDefault="008F410A" w:rsidP="008F410A">
      <w:pPr>
        <w:pStyle w:val="ListBullet"/>
      </w:pPr>
      <w:r>
        <w:t>Outer Metropolitan Ring Road/E6 (OMR</w:t>
      </w:r>
      <w:r w:rsidR="00583185">
        <w:t>)</w:t>
      </w:r>
    </w:p>
    <w:p w14:paraId="332C9EFC" w14:textId="77777777" w:rsidR="008F410A" w:rsidRPr="008F410A" w:rsidRDefault="008F410A" w:rsidP="008F410A">
      <w:pPr>
        <w:pStyle w:val="ListBullet"/>
      </w:pPr>
      <w:r w:rsidRPr="008F410A">
        <w:t>Beaufort Bypass (Western Highway)</w:t>
      </w:r>
    </w:p>
    <w:p w14:paraId="51DC0316" w14:textId="7C354329" w:rsidR="008F410A" w:rsidRDefault="008F410A" w:rsidP="008F410A">
      <w:pPr>
        <w:pStyle w:val="ListBullet"/>
      </w:pPr>
      <w:r>
        <w:t xml:space="preserve">Sunbury Line Level Crossing Removals </w:t>
      </w:r>
    </w:p>
    <w:p w14:paraId="006F3F28" w14:textId="4269A238" w:rsidR="008F410A" w:rsidRDefault="008F410A" w:rsidP="008F410A">
      <w:pPr>
        <w:pStyle w:val="ListBullet"/>
        <w:sectPr w:rsidR="008F410A" w:rsidSect="008F410A">
          <w:footnotePr>
            <w:numRestart w:val="eachPage"/>
          </w:footnotePr>
          <w:type w:val="continuous"/>
          <w:pgSz w:w="11906" w:h="16838" w:code="9"/>
          <w:pgMar w:top="1418" w:right="1418" w:bottom="1418" w:left="1418" w:header="1134" w:footer="340" w:gutter="0"/>
          <w:cols w:num="2" w:space="708"/>
          <w:docGrid w:linePitch="360"/>
        </w:sectPr>
      </w:pPr>
      <w:r>
        <w:t>West Gate Tunnel (formerly the Western Distributor Project)</w:t>
      </w:r>
      <w:r w:rsidR="00BA0564">
        <w:t>.</w:t>
      </w:r>
    </w:p>
    <w:p w14:paraId="46D6A50B" w14:textId="77777777" w:rsidR="008F410A" w:rsidRDefault="008F410A" w:rsidP="008F410A">
      <w:r w:rsidRPr="008F410A">
        <w:t>To the extent that these projects compete for investment or local labour, this may increase economic activity in Victoria. The OMR is the only project known to fall within the Western Renewables Link Project Land, while other projects (except the West Gate Tunnel) are within 15km of Project Land. These could lead to cumulative disruption costs, including traffic congestion on shared construction transport and haulage routes.</w:t>
      </w:r>
    </w:p>
    <w:p w14:paraId="338663BA" w14:textId="77777777" w:rsidR="008F410A" w:rsidRDefault="008F410A" w:rsidP="00C37EE0">
      <w:pPr>
        <w:pStyle w:val="Heading3"/>
      </w:pPr>
      <w:bookmarkStart w:id="31" w:name="_Toc201048168"/>
      <w:r>
        <w:t>Urban development projects</w:t>
      </w:r>
      <w:bookmarkEnd w:id="31"/>
    </w:p>
    <w:p w14:paraId="45AC9583" w14:textId="77777777" w:rsidR="008F410A" w:rsidRDefault="008F410A" w:rsidP="00C37EE0">
      <w:pPr>
        <w:keepNext/>
        <w:keepLines/>
      </w:pPr>
      <w:r w:rsidRPr="008F410A">
        <w:t>Relevant projects include:</w:t>
      </w:r>
    </w:p>
    <w:p w14:paraId="08F08C3F" w14:textId="77777777" w:rsidR="008F410A" w:rsidRDefault="008F410A" w:rsidP="008F410A">
      <w:pPr>
        <w:pStyle w:val="ListBullet"/>
      </w:pPr>
      <w:r>
        <w:t>Delahey Urban Development</w:t>
      </w:r>
    </w:p>
    <w:p w14:paraId="0F411592" w14:textId="30D0AB8D" w:rsidR="008F410A" w:rsidRDefault="008F410A" w:rsidP="008F410A">
      <w:pPr>
        <w:pStyle w:val="ListBullet"/>
      </w:pPr>
      <w:r>
        <w:lastRenderedPageBreak/>
        <w:t>Bacchus Marsh Urban Growth Framework (as part of the Merrimu Precinct Structure Plan)</w:t>
      </w:r>
      <w:r w:rsidR="00BA0564">
        <w:t>.</w:t>
      </w:r>
    </w:p>
    <w:p w14:paraId="4EE53CDB" w14:textId="77777777" w:rsidR="008F410A" w:rsidRDefault="008F410A" w:rsidP="008F410A">
      <w:r w:rsidRPr="008F410A">
        <w:t>While these projects will attract investment, material cumulative impacts are not anticipated in the construction stage due to their relatively small scale.</w:t>
      </w:r>
    </w:p>
    <w:p w14:paraId="4B5C8DF3" w14:textId="77777777" w:rsidR="008F410A" w:rsidRDefault="008F410A" w:rsidP="008F410A">
      <w:pPr>
        <w:pStyle w:val="Heading3"/>
      </w:pPr>
      <w:bookmarkStart w:id="32" w:name="_Toc201048169"/>
      <w:r>
        <w:t>Other infrastructure projects</w:t>
      </w:r>
      <w:bookmarkEnd w:id="32"/>
    </w:p>
    <w:p w14:paraId="38BE8ECD" w14:textId="77777777" w:rsidR="008F410A" w:rsidRDefault="008F410A" w:rsidP="008F410A">
      <w:r w:rsidRPr="008F410A">
        <w:t>Relevant projects include:</w:t>
      </w:r>
    </w:p>
    <w:p w14:paraId="01791B0E" w14:textId="77777777" w:rsidR="008F410A" w:rsidRDefault="008F410A" w:rsidP="008F410A">
      <w:pPr>
        <w:pStyle w:val="ListBullet"/>
      </w:pPr>
      <w:r>
        <w:t>Western Irrigation Network (WIN) Scheme – Recycled Water Supply Infrastructure Project</w:t>
      </w:r>
    </w:p>
    <w:p w14:paraId="1E0F8DA1" w14:textId="21F21CA2" w:rsidR="008F410A" w:rsidRDefault="00DB2DDA" w:rsidP="008F410A">
      <w:pPr>
        <w:pStyle w:val="ListBullet"/>
      </w:pPr>
      <w:r w:rsidRPr="00DB2DDA">
        <w:t>Coimadai Sand Quarry</w:t>
      </w:r>
      <w:r>
        <w:t>.</w:t>
      </w:r>
    </w:p>
    <w:p w14:paraId="55B90D0A" w14:textId="77777777" w:rsidR="008F410A" w:rsidRDefault="008F410A" w:rsidP="008F410A">
      <w:r w:rsidRPr="008F410A">
        <w:t>While the Western Renewables Link Project may have to consider the sequencing of construction where there is geographical overlap with the WIN Scheme, no material cumulative economic impacts are expected. Due to the nature of the sand quarry project, no material cumulative economic impacts are expected.</w:t>
      </w:r>
    </w:p>
    <w:p w14:paraId="37361CC6" w14:textId="77777777" w:rsidR="00705BE1" w:rsidRDefault="00705BE1" w:rsidP="00705BE1">
      <w:pPr>
        <w:pStyle w:val="Heading3"/>
      </w:pPr>
      <w:bookmarkStart w:id="33" w:name="_Toc201048170"/>
      <w:r>
        <w:t>Nature and parks</w:t>
      </w:r>
      <w:bookmarkEnd w:id="33"/>
    </w:p>
    <w:p w14:paraId="31FABBE3" w14:textId="77777777" w:rsidR="00705BE1" w:rsidRPr="00705BE1" w:rsidRDefault="00705BE1" w:rsidP="00705BE1">
      <w:r w:rsidRPr="00705BE1">
        <w:t>Relevant projects include:</w:t>
      </w:r>
    </w:p>
    <w:p w14:paraId="7B06B2C7" w14:textId="77777777" w:rsidR="00705BE1" w:rsidRDefault="00705BE1" w:rsidP="00705BE1">
      <w:pPr>
        <w:pStyle w:val="ListBullet"/>
      </w:pPr>
      <w:r>
        <w:t>Lerderderg River Nature Trail</w:t>
      </w:r>
    </w:p>
    <w:p w14:paraId="4B0568CA" w14:textId="2C432823" w:rsidR="00705BE1" w:rsidRDefault="00705BE1" w:rsidP="00705BE1">
      <w:pPr>
        <w:pStyle w:val="ListBullet"/>
      </w:pPr>
      <w:r>
        <w:t>Lerderderg-Wombat National Park</w:t>
      </w:r>
      <w:r w:rsidR="00DB2DDA">
        <w:t>.</w:t>
      </w:r>
    </w:p>
    <w:p w14:paraId="2991E7D3" w14:textId="77777777" w:rsidR="008F410A" w:rsidRDefault="00705BE1" w:rsidP="00705BE1">
      <w:r w:rsidRPr="00705BE1">
        <w:t>Construction timeframes for these projects are unknown. The Western Renewables Link Project may impact visual amenity of Trail and Park users. However, any cumulative economic impacts are unlikely to be significant.</w:t>
      </w:r>
    </w:p>
    <w:p w14:paraId="5D774658" w14:textId="77777777" w:rsidR="00705BE1" w:rsidRDefault="00705BE1" w:rsidP="00705BE1">
      <w:pPr>
        <w:pStyle w:val="Heading2"/>
      </w:pPr>
      <w:bookmarkStart w:id="34" w:name="_Ref197693884"/>
      <w:bookmarkStart w:id="35" w:name="_Toc201048171"/>
      <w:r>
        <w:t>Environmental Performance Requirements</w:t>
      </w:r>
      <w:bookmarkEnd w:id="34"/>
      <w:bookmarkEnd w:id="35"/>
    </w:p>
    <w:p w14:paraId="43D27CC1" w14:textId="77777777" w:rsidR="00705BE1" w:rsidRDefault="00705BE1" w:rsidP="00C37EE0">
      <w:r w:rsidRPr="00705BE1">
        <w:t xml:space="preserve">Potential impacts identified through </w:t>
      </w:r>
      <w:r w:rsidRPr="00705BE1">
        <w:rPr>
          <w:b/>
          <w:bCs/>
        </w:rPr>
        <w:t>Technical Report G: Economic Impact Assessm</w:t>
      </w:r>
      <w:r w:rsidRPr="0016178D">
        <w:rPr>
          <w:b/>
        </w:rPr>
        <w:t>ent</w:t>
      </w:r>
      <w:r w:rsidRPr="00705BE1">
        <w:t xml:space="preserve"> have informed the development of EPRs for the Project. 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rsidR="0041705A">
        <w:fldChar w:fldCharType="begin"/>
      </w:r>
      <w:r w:rsidR="0041705A">
        <w:instrText xml:space="preserve"> REF _Ref197693785 \h </w:instrText>
      </w:r>
      <w:r w:rsidR="0041705A">
        <w:fldChar w:fldCharType="separate"/>
      </w:r>
      <w:r w:rsidR="0041705A">
        <w:t xml:space="preserve">Table </w:t>
      </w:r>
      <w:r w:rsidR="0041705A">
        <w:rPr>
          <w:noProof/>
        </w:rPr>
        <w:t>14</w:t>
      </w:r>
      <w:r w:rsidR="0041705A">
        <w:t>.</w:t>
      </w:r>
      <w:r w:rsidR="0041705A">
        <w:rPr>
          <w:noProof/>
        </w:rPr>
        <w:t>3</w:t>
      </w:r>
      <w:r w:rsidR="0041705A">
        <w:fldChar w:fldCharType="end"/>
      </w:r>
      <w:r w:rsidRPr="00705BE1">
        <w:t xml:space="preserve"> details the proposed EPRs developed for economic impacts.</w:t>
      </w:r>
    </w:p>
    <w:p w14:paraId="7D08C955" w14:textId="77777777" w:rsidR="007932B9" w:rsidRDefault="007932B9" w:rsidP="007932B9">
      <w:pPr>
        <w:pStyle w:val="Caption"/>
        <w:keepNext/>
      </w:pPr>
      <w:bookmarkStart w:id="36" w:name="_Ref197693785"/>
      <w:r>
        <w:t xml:space="preserve">Table </w:t>
      </w:r>
      <w:fldSimple w:instr=" STYLEREF 1 \s ">
        <w:r>
          <w:rPr>
            <w:noProof/>
          </w:rPr>
          <w:t>14</w:t>
        </w:r>
      </w:fldSimple>
      <w:r>
        <w:t>.</w:t>
      </w:r>
      <w:fldSimple w:instr=" SEQ Table \* ARABIC \s 1 ">
        <w:r>
          <w:rPr>
            <w:noProof/>
          </w:rPr>
          <w:t>3</w:t>
        </w:r>
      </w:fldSimple>
      <w:bookmarkEnd w:id="36"/>
      <w:r>
        <w:t xml:space="preserve"> Environmental Performance Requirements</w:t>
      </w:r>
    </w:p>
    <w:tbl>
      <w:tblPr>
        <w:tblStyle w:val="WVTTable2"/>
        <w:tblW w:w="5000" w:type="pct"/>
        <w:tblLook w:val="04A0" w:firstRow="1" w:lastRow="0" w:firstColumn="1" w:lastColumn="0" w:noHBand="0" w:noVBand="1"/>
      </w:tblPr>
      <w:tblGrid>
        <w:gridCol w:w="695"/>
        <w:gridCol w:w="8375"/>
      </w:tblGrid>
      <w:tr w:rsidR="00705BE1" w14:paraId="2C36CDEB" w14:textId="77777777" w:rsidTr="00F96B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pct"/>
          </w:tcPr>
          <w:p w14:paraId="5520BE2F" w14:textId="77777777" w:rsidR="00705BE1" w:rsidRDefault="00705BE1" w:rsidP="00457A3F">
            <w:pPr>
              <w:pStyle w:val="TableText"/>
            </w:pPr>
            <w:r>
              <w:t>EPR code</w:t>
            </w:r>
          </w:p>
        </w:tc>
        <w:tc>
          <w:tcPr>
            <w:tcW w:w="4617" w:type="pct"/>
          </w:tcPr>
          <w:p w14:paraId="642CF819" w14:textId="77777777" w:rsidR="00705BE1" w:rsidRPr="00705BE1" w:rsidRDefault="00705BE1" w:rsidP="00457A3F">
            <w:pPr>
              <w:pStyle w:val="TableText"/>
              <w:cnfStyle w:val="100000000000" w:firstRow="1" w:lastRow="0" w:firstColumn="0" w:lastColumn="0" w:oddVBand="0" w:evenVBand="0" w:oddHBand="0" w:evenHBand="0" w:firstRowFirstColumn="0" w:firstRowLastColumn="0" w:lastRowFirstColumn="0" w:lastRowLastColumn="0"/>
              <w:rPr>
                <w:b w:val="0"/>
              </w:rPr>
            </w:pPr>
            <w:r>
              <w:t>Requirement</w:t>
            </w:r>
          </w:p>
        </w:tc>
      </w:tr>
      <w:tr w:rsidR="00705BE1" w14:paraId="3F7FD04F" w14:textId="77777777" w:rsidTr="00F96BF0">
        <w:tc>
          <w:tcPr>
            <w:cnfStyle w:val="001000000000" w:firstRow="0" w:lastRow="0" w:firstColumn="1" w:lastColumn="0" w:oddVBand="0" w:evenVBand="0" w:oddHBand="0" w:evenHBand="0" w:firstRowFirstColumn="0" w:firstRowLastColumn="0" w:lastRowFirstColumn="0" w:lastRowLastColumn="0"/>
            <w:tcW w:w="383" w:type="pct"/>
          </w:tcPr>
          <w:p w14:paraId="4D868D5B" w14:textId="77777777" w:rsidR="00705BE1" w:rsidRDefault="00705BE1" w:rsidP="00457A3F">
            <w:pPr>
              <w:pStyle w:val="TableText"/>
            </w:pPr>
            <w:r>
              <w:t>EC1</w:t>
            </w:r>
          </w:p>
        </w:tc>
        <w:tc>
          <w:tcPr>
            <w:tcW w:w="4617" w:type="pct"/>
          </w:tcPr>
          <w:p w14:paraId="3DE9C5DC" w14:textId="77777777" w:rsidR="00705BE1" w:rsidRPr="00705BE1" w:rsidRDefault="00705BE1" w:rsidP="00457A3F">
            <w:pPr>
              <w:pStyle w:val="TableText"/>
              <w:cnfStyle w:val="000000000000" w:firstRow="0" w:lastRow="0" w:firstColumn="0" w:lastColumn="0" w:oddVBand="0" w:evenVBand="0" w:oddHBand="0" w:evenHBand="0" w:firstRowFirstColumn="0" w:firstRowLastColumn="0" w:lastRowFirstColumn="0" w:lastRowLastColumn="0"/>
              <w:rPr>
                <w:b/>
                <w:bCs/>
              </w:rPr>
            </w:pPr>
            <w:r w:rsidRPr="00705BE1">
              <w:rPr>
                <w:b/>
                <w:bCs/>
              </w:rPr>
              <w:t>Develop and implement a Business Mitigation and Support Strategy</w:t>
            </w:r>
            <w:r w:rsidR="00845481">
              <w:rPr>
                <w:b/>
                <w:bCs/>
              </w:rPr>
              <w:t xml:space="preserve"> for directly affected businesses</w:t>
            </w:r>
          </w:p>
          <w:p w14:paraId="4C584EAE" w14:textId="77777777" w:rsidR="00705BE1" w:rsidRDefault="00705BE1" w:rsidP="00457A3F">
            <w:pPr>
              <w:pStyle w:val="TableNumbers"/>
              <w:spacing w:before="40" w:after="40"/>
              <w:cnfStyle w:val="000000000000" w:firstRow="0" w:lastRow="0" w:firstColumn="0" w:lastColumn="0" w:oddVBand="0" w:evenVBand="0" w:oddHBand="0" w:evenHBand="0" w:firstRowFirstColumn="0" w:firstRowLastColumn="0" w:lastRowFirstColumn="0" w:lastRowLastColumn="0"/>
            </w:pPr>
            <w:r>
              <w:t>Prior to the commencement of construction, develop and implement an overarching ‘Business Mitigation and Support Strategy’ to avoid and minimise impacts on businesses that could be directly affected by the Project, as a result of the transmission line easement being placed on land associated with the business, to the extent reasonably practicable.</w:t>
            </w:r>
          </w:p>
          <w:p w14:paraId="72CF472B" w14:textId="77777777" w:rsidR="00705BE1" w:rsidRDefault="00705BE1" w:rsidP="00457A3F">
            <w:pPr>
              <w:pStyle w:val="TableNumbers"/>
              <w:spacing w:before="40" w:after="40"/>
              <w:cnfStyle w:val="000000000000" w:firstRow="0" w:lastRow="0" w:firstColumn="0" w:lastColumn="0" w:oddVBand="0" w:evenVBand="0" w:oddHBand="0" w:evenHBand="0" w:firstRowFirstColumn="0" w:firstRowLastColumn="0" w:lastRowFirstColumn="0" w:lastRowLastColumn="0"/>
            </w:pPr>
            <w:r>
              <w:t xml:space="preserve">The strategy must be informed by the Communications and Stakeholder Engagement Management Plan (EPR EM5). </w:t>
            </w:r>
          </w:p>
          <w:p w14:paraId="14EA3449" w14:textId="77777777" w:rsidR="00705BE1" w:rsidRDefault="00705BE1" w:rsidP="00457A3F">
            <w:pPr>
              <w:pStyle w:val="TableNumbers"/>
              <w:spacing w:before="40" w:after="40"/>
              <w:cnfStyle w:val="000000000000" w:firstRow="0" w:lastRow="0" w:firstColumn="0" w:lastColumn="0" w:oddVBand="0" w:evenVBand="0" w:oddHBand="0" w:evenHBand="0" w:firstRowFirstColumn="0" w:firstRowLastColumn="0" w:lastRowFirstColumn="0" w:lastRowLastColumn="0"/>
            </w:pPr>
            <w:r>
              <w:t>The strategy must define the process and requirements for:</w:t>
            </w:r>
          </w:p>
          <w:p w14:paraId="77E48B24" w14:textId="77777777" w:rsidR="00705BE1" w:rsidRDefault="00705BE1" w:rsidP="00C37EE0">
            <w:pPr>
              <w:pStyle w:val="Tablenumbers2"/>
              <w:spacing w:before="40" w:after="40"/>
              <w:cnfStyle w:val="000000000000" w:firstRow="0" w:lastRow="0" w:firstColumn="0" w:lastColumn="0" w:oddVBand="0" w:evenVBand="0" w:oddHBand="0" w:evenHBand="0" w:firstRowFirstColumn="0" w:firstRowLastColumn="0" w:lastRowFirstColumn="0" w:lastRowLastColumn="0"/>
            </w:pPr>
            <w:r>
              <w:t>Consulting with business owners that agree to engage with the Project, to discuss their business and the specific impacts that their business may experience. As a minimum, this will consider business operations and services that may be affected or require alteration as a result of dust, noise and traffic generated by construction of the Project, or by the physical presence of Project infrastructure during operation of the Project.</w:t>
            </w:r>
          </w:p>
          <w:p w14:paraId="15BACDE1" w14:textId="77777777" w:rsidR="00705BE1" w:rsidRDefault="00705BE1"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 xml:space="preserve">Provided the business owner agrees to </w:t>
            </w:r>
            <w:r w:rsidRPr="00705BE1">
              <w:t>engage</w:t>
            </w:r>
            <w:r>
              <w:t xml:space="preserve"> with the Project, identifying, offering and implementing any practicable mitigation measures that could be applied to lessen the impacts of the Project on the business (both infrastructure and day to day operations). This includes but is not limited to measures that seek to, where practicable:</w:t>
            </w:r>
          </w:p>
          <w:p w14:paraId="3A78F67F"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Establish landscape screening to avoid and minimise the visual impact of the Project.</w:t>
            </w:r>
          </w:p>
          <w:p w14:paraId="4D954419"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lastRenderedPageBreak/>
              <w:t>Reconfigure, relocate or re-orientate any existing business assets that have views to the Project to avoid and minimise the visual impact.</w:t>
            </w:r>
          </w:p>
          <w:p w14:paraId="72624460"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Increase marketing and promotional activities to encourage patronage.</w:t>
            </w:r>
          </w:p>
          <w:p w14:paraId="3EE61A26"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Avoid and minimise air quality impacts on business operations in accordance with the Air Quality Management Plan (EPR AQ1).</w:t>
            </w:r>
          </w:p>
          <w:p w14:paraId="1C8606A3"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Avoid and minimise noise and vibration impacts on business operations in accordance with the Construction Noise and Vibration Management Plan (EPR NV1) and in accordance with EPR NV3.</w:t>
            </w:r>
          </w:p>
          <w:p w14:paraId="5CB96518"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Avoid and minimise traffic impacts on business operations in accordance with the Traffic Management Plans (EPR T1).</w:t>
            </w:r>
          </w:p>
          <w:p w14:paraId="4F68274E"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Maintain access for business operations, including if necessary establishing alternative temporary access and signage.</w:t>
            </w:r>
          </w:p>
          <w:p w14:paraId="69B8B027"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 xml:space="preserve">Avoid impacts on business assets or relocate and re-establish assets in an agreed location.  </w:t>
            </w:r>
          </w:p>
          <w:p w14:paraId="6D4AB9AF"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Provide for reinstatement and rehabilitation of construction areas and temporary access tracks.</w:t>
            </w:r>
          </w:p>
          <w:p w14:paraId="66C24F88"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Provide early and ongoing information and notification about details and timing of proposed works in proximity to the business (as per EM5).</w:t>
            </w:r>
          </w:p>
          <w:p w14:paraId="4771F00B" w14:textId="77777777" w:rsidR="00705BE1" w:rsidRDefault="00705BE1"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If requested by the business and it would assist in the identification of practicable mitigation measures, provide a consultant(s) with skills and qualifications relevant to the affected business to advise on mitigation of specific impacts.</w:t>
            </w:r>
          </w:p>
          <w:p w14:paraId="7912B574" w14:textId="77777777" w:rsidR="00705BE1" w:rsidRDefault="00705BE1"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Documenting the outcomes for individual businesses and provide the business with the information and implementation steps.</w:t>
            </w:r>
          </w:p>
          <w:p w14:paraId="5DC80CB7" w14:textId="77777777" w:rsidR="00705BE1" w:rsidRDefault="00705BE1"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 xml:space="preserve">The information which must be provided to the land title holder as to whether disturbance would be rectified, rehabilitated or compensated, either under the Options for Easement agreement, or in accordance with the requirements of the </w:t>
            </w:r>
            <w:r w:rsidRPr="0041705A">
              <w:rPr>
                <w:i/>
                <w:iCs/>
              </w:rPr>
              <w:t>Land Acquisition and Compensation Act 1986</w:t>
            </w:r>
          </w:p>
          <w:p w14:paraId="5E9C9FC5" w14:textId="77777777" w:rsidR="00705BE1" w:rsidRDefault="00705BE1"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 xml:space="preserve">Notification of construction timetable and changes to traffic conditions and duration of impact to assist landholder business planning </w:t>
            </w:r>
          </w:p>
          <w:p w14:paraId="39AA39DC" w14:textId="77777777" w:rsidR="00705BE1" w:rsidRDefault="00705BE1"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Inclusion of information on a reporting and complaints handling system for affected businesses to use consistent with the Australian Standard AS/NZS 100002: 2014 Guidelines for Complaints Management in Organisations.</w:t>
            </w:r>
          </w:p>
          <w:p w14:paraId="0AF5B2B9" w14:textId="77777777" w:rsidR="004B3D18" w:rsidRDefault="00705BE1" w:rsidP="004B3D18">
            <w:pPr>
              <w:pStyle w:val="TableNumbers"/>
              <w:spacing w:before="40" w:after="40"/>
              <w:cnfStyle w:val="000000000000" w:firstRow="0" w:lastRow="0" w:firstColumn="0" w:lastColumn="0" w:oddVBand="0" w:evenVBand="0" w:oddHBand="0" w:evenHBand="0" w:firstRowFirstColumn="0" w:firstRowLastColumn="0" w:lastRowFirstColumn="0" w:lastRowLastColumn="0"/>
            </w:pPr>
            <w:r w:rsidRPr="00705BE1">
              <w:t xml:space="preserve">Prepare, provide to business owners and implement plans for affected businesses in accordance with the strategy. </w:t>
            </w:r>
          </w:p>
          <w:p w14:paraId="527A78F9" w14:textId="5D75CAE6" w:rsidR="00705BE1" w:rsidRDefault="00705BE1" w:rsidP="004B3D18">
            <w:pPr>
              <w:pStyle w:val="TableNumbers"/>
              <w:spacing w:before="40" w:after="40"/>
              <w:cnfStyle w:val="000000000000" w:firstRow="0" w:lastRow="0" w:firstColumn="0" w:lastColumn="0" w:oddVBand="0" w:evenVBand="0" w:oddHBand="0" w:evenHBand="0" w:firstRowFirstColumn="0" w:firstRowLastColumn="0" w:lastRowFirstColumn="0" w:lastRowLastColumn="0"/>
            </w:pPr>
            <w:r w:rsidRPr="00705BE1">
              <w:t>The Project will provide for engagement with business owners for 12 months following completion of construction activities that directly affect the business and will implement agreed mitigation measures within that time unless otherwise agreed with the relevant business owner.</w:t>
            </w:r>
          </w:p>
        </w:tc>
      </w:tr>
      <w:tr w:rsidR="00705BE1" w14:paraId="248BAE7A" w14:textId="77777777" w:rsidTr="00F96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tcPr>
          <w:p w14:paraId="25673719" w14:textId="77777777" w:rsidR="00705BE1" w:rsidRDefault="00705BE1" w:rsidP="00457A3F">
            <w:pPr>
              <w:pStyle w:val="TableText"/>
            </w:pPr>
            <w:r>
              <w:lastRenderedPageBreak/>
              <w:t>EC2</w:t>
            </w:r>
          </w:p>
        </w:tc>
        <w:tc>
          <w:tcPr>
            <w:tcW w:w="4617" w:type="pct"/>
          </w:tcPr>
          <w:p w14:paraId="03B9901B" w14:textId="77777777" w:rsidR="00705BE1" w:rsidRDefault="00705BE1" w:rsidP="00457A3F">
            <w:pPr>
              <w:pStyle w:val="TableText"/>
              <w:keepNext/>
              <w:keepLines/>
              <w:cnfStyle w:val="000000010000" w:firstRow="0" w:lastRow="0" w:firstColumn="0" w:lastColumn="0" w:oddVBand="0" w:evenVBand="0" w:oddHBand="0" w:evenHBand="1" w:firstRowFirstColumn="0" w:firstRowLastColumn="0" w:lastRowFirstColumn="0" w:lastRowLastColumn="0"/>
              <w:rPr>
                <w:b/>
                <w:bCs/>
              </w:rPr>
            </w:pPr>
            <w:r w:rsidRPr="00705BE1">
              <w:rPr>
                <w:b/>
                <w:bCs/>
              </w:rPr>
              <w:t>Develop and implement initiatives for procurement of goods and services from local communities and social enterprises</w:t>
            </w:r>
          </w:p>
          <w:p w14:paraId="00D9FD02" w14:textId="77777777" w:rsidR="00705BE1" w:rsidRDefault="00705BE1" w:rsidP="00457A3F">
            <w:pPr>
              <w:pStyle w:val="TableNumbers"/>
              <w:keepNext/>
              <w:keepLines/>
              <w:numPr>
                <w:ilvl w:val="0"/>
                <w:numId w:val="19"/>
              </w:numPr>
              <w:spacing w:before="40" w:after="40"/>
              <w:cnfStyle w:val="000000010000" w:firstRow="0" w:lastRow="0" w:firstColumn="0" w:lastColumn="0" w:oddVBand="0" w:evenVBand="0" w:oddHBand="0" w:evenHBand="1" w:firstRowFirstColumn="0" w:firstRowLastColumn="0" w:lastRowFirstColumn="0" w:lastRowLastColumn="0"/>
            </w:pPr>
            <w:r>
              <w:t xml:space="preserve">Prior to the commencement of construction, develop and implement a plan to increase positive social and economic impacts through the procurement of goods and services from local communities and social enterprises. </w:t>
            </w:r>
          </w:p>
          <w:p w14:paraId="45CBD4BF" w14:textId="77777777" w:rsidR="00705BE1" w:rsidRDefault="00705BE1" w:rsidP="00457A3F">
            <w:pPr>
              <w:pStyle w:val="TableNumbers"/>
              <w:keepNext/>
              <w:keepLines/>
              <w:spacing w:before="40" w:after="40"/>
              <w:cnfStyle w:val="000000010000" w:firstRow="0" w:lastRow="0" w:firstColumn="0" w:lastColumn="0" w:oddVBand="0" w:evenVBand="0" w:oddHBand="0" w:evenHBand="1" w:firstRowFirstColumn="0" w:firstRowLastColumn="0" w:lastRowFirstColumn="0" w:lastRowLastColumn="0"/>
            </w:pPr>
            <w:r>
              <w:t>The plan must include initiatives and commitments to prioritise to the extent practicable the procurement of goods and services from:</w:t>
            </w:r>
          </w:p>
          <w:p w14:paraId="37AD84DF" w14:textId="21C81E31" w:rsidR="00705BE1" w:rsidRPr="00F96BF0" w:rsidRDefault="00705BE1" w:rsidP="00C37EE0">
            <w:pPr>
              <w:pStyle w:val="Tablenumbers2"/>
              <w:numPr>
                <w:ilvl w:val="0"/>
                <w:numId w:val="34"/>
              </w:numPr>
              <w:spacing w:before="40" w:after="40"/>
              <w:ind w:left="568" w:hanging="284"/>
              <w:cnfStyle w:val="000000010000" w:firstRow="0" w:lastRow="0" w:firstColumn="0" w:lastColumn="0" w:oddVBand="0" w:evenVBand="0" w:oddHBand="0" w:evenHBand="1" w:firstRowFirstColumn="0" w:firstRowLastColumn="0" w:lastRowFirstColumn="0" w:lastRowLastColumn="0"/>
            </w:pPr>
            <w:r w:rsidRPr="00F96BF0">
              <w:t>Local businesses, particularly within the local government areas intersected by the Project and small to medium enterprises</w:t>
            </w:r>
            <w:r w:rsidR="00DF5EA1">
              <w:t>.</w:t>
            </w:r>
          </w:p>
          <w:p w14:paraId="16CF2A05" w14:textId="78215BD7" w:rsidR="00705BE1" w:rsidRPr="00705BE1" w:rsidRDefault="00705BE1" w:rsidP="00457A3F">
            <w:pPr>
              <w:pStyle w:val="Tablenumbers2"/>
              <w:keepNext/>
              <w:keepLines/>
              <w:spacing w:before="40" w:after="40"/>
              <w:cnfStyle w:val="000000010000" w:firstRow="0" w:lastRow="0" w:firstColumn="0" w:lastColumn="0" w:oddVBand="0" w:evenVBand="0" w:oddHBand="0" w:evenHBand="1" w:firstRowFirstColumn="0" w:firstRowLastColumn="0" w:lastRowFirstColumn="0" w:lastRowLastColumn="0"/>
            </w:pPr>
            <w:r>
              <w:t>Sustainable social enterprises and Aboriginal-owned businesses</w:t>
            </w:r>
            <w:r w:rsidR="00DF5EA1">
              <w:t>.</w:t>
            </w:r>
          </w:p>
        </w:tc>
      </w:tr>
      <w:tr w:rsidR="00705BE1" w14:paraId="36AB5FE4" w14:textId="77777777" w:rsidTr="00F96BF0">
        <w:tc>
          <w:tcPr>
            <w:cnfStyle w:val="001000000000" w:firstRow="0" w:lastRow="0" w:firstColumn="1" w:lastColumn="0" w:oddVBand="0" w:evenVBand="0" w:oddHBand="0" w:evenHBand="0" w:firstRowFirstColumn="0" w:firstRowLastColumn="0" w:lastRowFirstColumn="0" w:lastRowLastColumn="0"/>
            <w:tcW w:w="383" w:type="pct"/>
          </w:tcPr>
          <w:p w14:paraId="1DB13BB0" w14:textId="77777777" w:rsidR="00705BE1" w:rsidRDefault="00705BE1" w:rsidP="00457A3F">
            <w:pPr>
              <w:pStyle w:val="TableText"/>
            </w:pPr>
            <w:r>
              <w:t>EC3</w:t>
            </w:r>
          </w:p>
        </w:tc>
        <w:tc>
          <w:tcPr>
            <w:tcW w:w="4617" w:type="pct"/>
          </w:tcPr>
          <w:p w14:paraId="334B9FB6" w14:textId="77777777" w:rsidR="00705BE1" w:rsidRDefault="00705BE1" w:rsidP="00457A3F">
            <w:pPr>
              <w:pStyle w:val="TableText"/>
              <w:cnfStyle w:val="000000000000" w:firstRow="0" w:lastRow="0" w:firstColumn="0" w:lastColumn="0" w:oddVBand="0" w:evenVBand="0" w:oddHBand="0" w:evenHBand="0" w:firstRowFirstColumn="0" w:firstRowLastColumn="0" w:lastRowFirstColumn="0" w:lastRowLastColumn="0"/>
              <w:rPr>
                <w:b/>
                <w:bCs/>
              </w:rPr>
            </w:pPr>
            <w:r w:rsidRPr="00705BE1">
              <w:rPr>
                <w:b/>
                <w:bCs/>
              </w:rPr>
              <w:t>Develop and implement a Business Mitigation and Support Strategy</w:t>
            </w:r>
            <w:r w:rsidR="00517874">
              <w:rPr>
                <w:b/>
                <w:bCs/>
              </w:rPr>
              <w:t xml:space="preserve"> for eligible businesses within 2km</w:t>
            </w:r>
          </w:p>
          <w:p w14:paraId="773ADB9C" w14:textId="77777777" w:rsidR="00F96BF0" w:rsidRPr="00F96BF0" w:rsidRDefault="00F96BF0" w:rsidP="00457A3F">
            <w:pPr>
              <w:pStyle w:val="TableNumbers"/>
              <w:numPr>
                <w:ilvl w:val="0"/>
                <w:numId w:val="25"/>
              </w:numPr>
              <w:spacing w:before="40" w:after="40"/>
              <w:cnfStyle w:val="000000000000" w:firstRow="0" w:lastRow="0" w:firstColumn="0" w:lastColumn="0" w:oddVBand="0" w:evenVBand="0" w:oddHBand="0" w:evenHBand="0" w:firstRowFirstColumn="0" w:firstRowLastColumn="0" w:lastRowFirstColumn="0" w:lastRowLastColumn="0"/>
            </w:pPr>
            <w:r w:rsidRPr="00F96BF0">
              <w:t xml:space="preserve">Prior to the commencement of construction, develop and implement a 'Business Mitigation and Support Strategy’ to avoid and minimise, to the extent reasonably practicable, impacts from the Project to existing businesses that would not be supported under EPR EC1 but which: </w:t>
            </w:r>
          </w:p>
          <w:p w14:paraId="2807EF5A" w14:textId="77777777" w:rsidR="00F96BF0" w:rsidRDefault="00F96BF0" w:rsidP="00C37EE0">
            <w:pPr>
              <w:pStyle w:val="Tablenumbers2"/>
              <w:numPr>
                <w:ilvl w:val="0"/>
                <w:numId w:val="35"/>
              </w:numPr>
              <w:spacing w:before="40" w:after="40"/>
              <w:ind w:left="568" w:hanging="284"/>
              <w:cnfStyle w:val="000000000000" w:firstRow="0" w:lastRow="0" w:firstColumn="0" w:lastColumn="0" w:oddVBand="0" w:evenVBand="0" w:oddHBand="0" w:evenHBand="0" w:firstRowFirstColumn="0" w:firstRowLastColumn="0" w:lastRowFirstColumn="0" w:lastRowLastColumn="0"/>
            </w:pPr>
            <w:r>
              <w:t xml:space="preserve">are within 2km of the Project; and </w:t>
            </w:r>
          </w:p>
          <w:p w14:paraId="537616F4" w14:textId="77777777" w:rsidR="00F96BF0" w:rsidRDefault="00F96BF0"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rely on the existing character of the natural landscape to attract customers</w:t>
            </w:r>
            <w:r w:rsidR="00457A3F">
              <w:t>.</w:t>
            </w:r>
          </w:p>
          <w:p w14:paraId="745B5E83" w14:textId="77777777" w:rsidR="00F96BF0" w:rsidRPr="00F96BF0" w:rsidRDefault="00F96BF0" w:rsidP="00457A3F">
            <w:pPr>
              <w:pStyle w:val="TableNumbers"/>
              <w:spacing w:before="40" w:after="40"/>
              <w:cnfStyle w:val="000000000000" w:firstRow="0" w:lastRow="0" w:firstColumn="0" w:lastColumn="0" w:oddVBand="0" w:evenVBand="0" w:oddHBand="0" w:evenHBand="0" w:firstRowFirstColumn="0" w:firstRowLastColumn="0" w:lastRowFirstColumn="0" w:lastRowLastColumn="0"/>
            </w:pPr>
            <w:r w:rsidRPr="00F96BF0">
              <w:t xml:space="preserve">The strategy must include actions that will be undertaken to avoid and minimise amenity impacts to the businesses referred to in 1 above. The strategy should define the process and requirements for: </w:t>
            </w:r>
          </w:p>
          <w:p w14:paraId="7045B98E" w14:textId="77777777" w:rsidR="00F96BF0" w:rsidRDefault="00F96BF0" w:rsidP="00C37EE0">
            <w:pPr>
              <w:pStyle w:val="Tablenumbers2"/>
              <w:numPr>
                <w:ilvl w:val="0"/>
                <w:numId w:val="38"/>
              </w:numPr>
              <w:spacing w:before="40" w:after="40"/>
              <w:ind w:left="568" w:hanging="284"/>
              <w:cnfStyle w:val="000000000000" w:firstRow="0" w:lastRow="0" w:firstColumn="0" w:lastColumn="0" w:oddVBand="0" w:evenVBand="0" w:oddHBand="0" w:evenHBand="0" w:firstRowFirstColumn="0" w:firstRowLastColumn="0" w:lastRowFirstColumn="0" w:lastRowLastColumn="0"/>
            </w:pPr>
            <w:r>
              <w:t xml:space="preserve">Consulting with </w:t>
            </w:r>
            <w:r w:rsidR="00AB4ED6">
              <w:t xml:space="preserve">business </w:t>
            </w:r>
            <w:r>
              <w:t>owners that agree to engage with the Project</w:t>
            </w:r>
            <w:r w:rsidR="00C967C2">
              <w:t>,</w:t>
            </w:r>
            <w:r>
              <w:t xml:space="preserve"> to discuss their business and the specific impacts that their business may experience. </w:t>
            </w:r>
            <w:r w:rsidR="00244E24" w:rsidRPr="00244E24">
              <w:t>As a minimum, this will consider business operations and services that may be affected or require alteration as a result of dust, noise and traffic generated by construction of the Project, or by the physical presence of Project infrastructure during operation of the Project</w:t>
            </w:r>
            <w:r w:rsidR="00244E24">
              <w:t>.</w:t>
            </w:r>
          </w:p>
          <w:p w14:paraId="3DEC6111" w14:textId="77777777" w:rsidR="00F96BF0" w:rsidRDefault="00F96BF0" w:rsidP="008F29D3">
            <w:pPr>
              <w:pStyle w:val="Tablenumbers2"/>
              <w:keepNext/>
              <w:keepLines/>
              <w:spacing w:before="40" w:after="40"/>
              <w:cnfStyle w:val="000000000000" w:firstRow="0" w:lastRow="0" w:firstColumn="0" w:lastColumn="0" w:oddVBand="0" w:evenVBand="0" w:oddHBand="0" w:evenHBand="0" w:firstRowFirstColumn="0" w:firstRowLastColumn="0" w:lastRowFirstColumn="0" w:lastRowLastColumn="0"/>
            </w:pPr>
            <w:r>
              <w:lastRenderedPageBreak/>
              <w:t>Provided the business owner agrees to engage with the Project, identifying, offering and implementing any practicable mitigation measures that could be applied to lessen the impacts of the Project on the business</w:t>
            </w:r>
            <w:r w:rsidR="007C35AD" w:rsidRPr="007C35AD">
              <w:t xml:space="preserve"> (both infrastructure and day to day operations)</w:t>
            </w:r>
            <w:r>
              <w:t>, or that may otherwise support the business. This includes but is not limited to measures that seek to, where practicable:</w:t>
            </w:r>
          </w:p>
          <w:p w14:paraId="305492FB" w14:textId="77777777" w:rsidR="00F96BF0" w:rsidRDefault="00F96BF0" w:rsidP="00344CBA">
            <w:pPr>
              <w:pStyle w:val="Tablenumbers3"/>
              <w:numPr>
                <w:ilvl w:val="0"/>
                <w:numId w:val="37"/>
              </w:numPr>
              <w:spacing w:after="40"/>
              <w:ind w:left="851" w:hanging="284"/>
              <w:cnfStyle w:val="000000000000" w:firstRow="0" w:lastRow="0" w:firstColumn="0" w:lastColumn="0" w:oddVBand="0" w:evenVBand="0" w:oddHBand="0" w:evenHBand="0" w:firstRowFirstColumn="0" w:firstRowLastColumn="0" w:lastRowFirstColumn="0" w:lastRowLastColumn="0"/>
            </w:pPr>
            <w:r>
              <w:t>Establish landscape screening to avoid and minimise the visual impact of the Project.</w:t>
            </w:r>
          </w:p>
          <w:p w14:paraId="37977DCD" w14:textId="77777777" w:rsidR="00F96BF0" w:rsidRDefault="00F96BF0"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Reconfigure, relocate or re-orientate any existing business assets that have views to the Project to avoid and minimise the visual impact.</w:t>
            </w:r>
          </w:p>
          <w:p w14:paraId="49C1FA6A" w14:textId="77777777" w:rsidR="00F96BF0" w:rsidRDefault="00F96BF0"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 xml:space="preserve">Increase marketing and promotional activities to encourage patronage. </w:t>
            </w:r>
          </w:p>
          <w:p w14:paraId="31B07F4A" w14:textId="7F9A9E1A" w:rsidR="00F96BF0" w:rsidRDefault="00F96BF0" w:rsidP="00457A3F">
            <w:pPr>
              <w:pStyle w:val="Tablenumbers3"/>
              <w:spacing w:after="40"/>
              <w:cnfStyle w:val="000000000000" w:firstRow="0" w:lastRow="0" w:firstColumn="0" w:lastColumn="0" w:oddVBand="0" w:evenVBand="0" w:oddHBand="0" w:evenHBand="0" w:firstRowFirstColumn="0" w:firstRowLastColumn="0" w:lastRowFirstColumn="0" w:lastRowLastColumn="0"/>
            </w:pPr>
            <w:r>
              <w:t>Provide early and ongoing information and notification about details and timing of proposed works in proximity to the business (as per EPR EM5)</w:t>
            </w:r>
            <w:r w:rsidR="00344CBA">
              <w:t>.</w:t>
            </w:r>
          </w:p>
          <w:p w14:paraId="5B0FF7FF" w14:textId="77777777" w:rsidR="00F96BF0" w:rsidRDefault="00F96BF0"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Documenting the outcomes for individual businesses and provide the business with the information and implementation steps.</w:t>
            </w:r>
          </w:p>
          <w:p w14:paraId="0EA9E1BC" w14:textId="77777777" w:rsidR="00F96BF0" w:rsidRDefault="00F96BF0"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 xml:space="preserve">Offering and implementing any agreed mitigation measures. </w:t>
            </w:r>
          </w:p>
          <w:p w14:paraId="26459296" w14:textId="77777777" w:rsidR="00F96BF0" w:rsidRDefault="00F96BF0" w:rsidP="00457A3F">
            <w:pPr>
              <w:pStyle w:val="Tablenumbers2"/>
              <w:spacing w:before="40" w:after="40"/>
              <w:cnfStyle w:val="000000000000" w:firstRow="0" w:lastRow="0" w:firstColumn="0" w:lastColumn="0" w:oddVBand="0" w:evenVBand="0" w:oddHBand="0" w:evenHBand="0" w:firstRowFirstColumn="0" w:firstRowLastColumn="0" w:lastRowFirstColumn="0" w:lastRowLastColumn="0"/>
            </w:pPr>
            <w:r>
              <w:t>A reporting and complaints handling system for landholders and community to use consistent with the Australian Standard AS/NZS 100002: 2014 Guidelines for Complaints Management in Organisations.</w:t>
            </w:r>
          </w:p>
          <w:p w14:paraId="56153B30" w14:textId="77777777" w:rsidR="00F96BF0" w:rsidRDefault="00F96BF0" w:rsidP="00457A3F">
            <w:pPr>
              <w:pStyle w:val="TableNumbers"/>
              <w:spacing w:before="40" w:after="40"/>
              <w:cnfStyle w:val="000000000000" w:firstRow="0" w:lastRow="0" w:firstColumn="0" w:lastColumn="0" w:oddVBand="0" w:evenVBand="0" w:oddHBand="0" w:evenHBand="0" w:firstRowFirstColumn="0" w:firstRowLastColumn="0" w:lastRowFirstColumn="0" w:lastRowLastColumn="0"/>
            </w:pPr>
            <w:r>
              <w:t>Prepare, provide to business owners and implement plans for affected businesses, in accordance with the strategy.</w:t>
            </w:r>
          </w:p>
          <w:p w14:paraId="078C9135" w14:textId="77777777" w:rsidR="00705BE1" w:rsidRPr="00F96BF0" w:rsidRDefault="00F96BF0" w:rsidP="00457A3F">
            <w:pPr>
              <w:pStyle w:val="TableNumbers"/>
              <w:spacing w:before="40" w:after="40"/>
              <w:cnfStyle w:val="000000000000" w:firstRow="0" w:lastRow="0" w:firstColumn="0" w:lastColumn="0" w:oddVBand="0" w:evenVBand="0" w:oddHBand="0" w:evenHBand="0" w:firstRowFirstColumn="0" w:firstRowLastColumn="0" w:lastRowFirstColumn="0" w:lastRowLastColumn="0"/>
            </w:pPr>
            <w:r>
              <w:t>The Project will provide for engagement with business owners for 12 months following completion of construction of the towers which are visible from the business and will implement agreed mitigation measures within that time unless otherwise agreed with the relevant business owner.</w:t>
            </w:r>
          </w:p>
        </w:tc>
      </w:tr>
    </w:tbl>
    <w:p w14:paraId="678A8C29" w14:textId="77777777" w:rsidR="00F96BF0" w:rsidRDefault="00F96BF0" w:rsidP="00457A3F">
      <w:pPr>
        <w:spacing w:after="0"/>
      </w:pPr>
    </w:p>
    <w:p w14:paraId="492FF508" w14:textId="77777777" w:rsidR="00705BE1" w:rsidRDefault="00F96BF0" w:rsidP="00457A3F">
      <w:pPr>
        <w:keepNext/>
        <w:keepLines/>
      </w:pPr>
      <w:r w:rsidRPr="00F96BF0">
        <w:t>Other EPRs contribute to a reduction in the magnitude, extent and duration of potential economic impacts. Additional EPRs related to potential economic impacts include:</w:t>
      </w:r>
    </w:p>
    <w:p w14:paraId="4FD82293" w14:textId="77777777" w:rsidR="00F96BF0" w:rsidRDefault="00F96BF0" w:rsidP="00457A3F">
      <w:pPr>
        <w:pStyle w:val="ListBullet"/>
        <w:keepNext/>
        <w:keepLines/>
        <w:spacing w:before="120" w:after="120"/>
      </w:pPr>
      <w:r>
        <w:t>EPR AF1 – Develop and implement an Agriculture and Forestry Business Mitigation and Support Strategy</w:t>
      </w:r>
    </w:p>
    <w:p w14:paraId="31B3461B" w14:textId="77777777" w:rsidR="00F96BF0" w:rsidRDefault="00F96BF0" w:rsidP="00457A3F">
      <w:pPr>
        <w:pStyle w:val="ListBullet"/>
        <w:spacing w:before="120" w:after="120"/>
      </w:pPr>
      <w:r>
        <w:t>EPR EM5 – Develop and implement a Communications and Stakeholder Engagement Management Plan</w:t>
      </w:r>
    </w:p>
    <w:p w14:paraId="663BC976" w14:textId="73D04B93" w:rsidR="00F73A93" w:rsidRDefault="00F73A93" w:rsidP="00F73A93">
      <w:pPr>
        <w:pStyle w:val="ListBullet"/>
        <w:spacing w:before="120" w:after="120"/>
      </w:pPr>
      <w:r>
        <w:t xml:space="preserve">EPR EM11 – </w:t>
      </w:r>
      <w:r w:rsidRPr="002B6091">
        <w:t>Develop and implement a Decommissioning Management Plan</w:t>
      </w:r>
      <w:r>
        <w:t>.</w:t>
      </w:r>
    </w:p>
    <w:p w14:paraId="17BC8595" w14:textId="1300658C" w:rsidR="00F73A93" w:rsidRDefault="00F73A93" w:rsidP="00F73A93">
      <w:pPr>
        <w:pStyle w:val="ListBullet"/>
        <w:spacing w:before="120" w:after="120"/>
      </w:pPr>
      <w:r>
        <w:t>EPR SC3 – Develop and implement initiatives to maximise employment opportunities for local communities, First Nations people and vulnerable and disadvantaged groups</w:t>
      </w:r>
    </w:p>
    <w:p w14:paraId="45955871" w14:textId="0B595DD5" w:rsidR="00F96BF0" w:rsidRDefault="00F96BF0" w:rsidP="00457A3F">
      <w:pPr>
        <w:pStyle w:val="ListBullet"/>
        <w:spacing w:before="120" w:after="120"/>
      </w:pPr>
      <w:r>
        <w:t>EPR T1 – Develop and implement Traffic Management Plans</w:t>
      </w:r>
      <w:r w:rsidR="008C2398">
        <w:t>.</w:t>
      </w:r>
    </w:p>
    <w:p w14:paraId="68579AD1" w14:textId="77777777" w:rsidR="00F96BF0" w:rsidRDefault="00F96BF0" w:rsidP="00F96BF0">
      <w:r w:rsidRPr="00F96BF0">
        <w:t xml:space="preserve">Refer to the relevant technical chapters and </w:t>
      </w:r>
      <w:r w:rsidRPr="00F96BF0">
        <w:rPr>
          <w:b/>
          <w:bCs/>
        </w:rPr>
        <w:t>Chapter 29: Environmental Management Framework</w:t>
      </w:r>
      <w:r w:rsidRPr="00F96BF0">
        <w:t xml:space="preserve"> for full detail of these EPRs.</w:t>
      </w:r>
    </w:p>
    <w:p w14:paraId="03DB3AD7" w14:textId="77777777" w:rsidR="00F96BF0" w:rsidRDefault="00F96BF0" w:rsidP="00457A3F">
      <w:r>
        <w:t xml:space="preserve">Frequent and ongoing consultation and communication with businesses and the community throughout the planning, construction and decommissioning stages will be important to avoid, minimise and manage potential economic impacts of the Project. The Communications and Stakeholder Engagement Management Plan (EPR EM5) will include monitoring and review of the effectiveness of proposed mitigation and management measures through direct engagement with affected stakeholders. Where required, additional measures may be warranted to respond to individual issues or unexpected impacts. </w:t>
      </w:r>
    </w:p>
    <w:p w14:paraId="0C6D07B3" w14:textId="77777777" w:rsidR="00F96BF0" w:rsidRDefault="00F96BF0" w:rsidP="00F96BF0">
      <w:r>
        <w:t xml:space="preserve">The objectives of the proposed monitoring programs for the Project required by the EPRs are outlined in </w:t>
      </w:r>
      <w:r w:rsidRPr="00F96BF0">
        <w:rPr>
          <w:b/>
          <w:bCs/>
        </w:rPr>
        <w:t>Chapter 29: Environmental Management Framework</w:t>
      </w:r>
      <w:r>
        <w:t>.</w:t>
      </w:r>
    </w:p>
    <w:p w14:paraId="4DCD1D57" w14:textId="77777777" w:rsidR="00F96BF0" w:rsidRDefault="00F96BF0" w:rsidP="00C37EE0">
      <w:pPr>
        <w:pStyle w:val="Heading2"/>
      </w:pPr>
      <w:bookmarkStart w:id="37" w:name="_Ref197693901"/>
      <w:bookmarkStart w:id="38" w:name="_Toc201048172"/>
      <w:r>
        <w:lastRenderedPageBreak/>
        <w:t>Summary of residual impacts</w:t>
      </w:r>
      <w:bookmarkEnd w:id="37"/>
      <w:bookmarkEnd w:id="38"/>
    </w:p>
    <w:p w14:paraId="50EB7F1A" w14:textId="77777777" w:rsidR="00F96BF0" w:rsidRDefault="00F96BF0" w:rsidP="00C37EE0">
      <w:pPr>
        <w:keepNext/>
        <w:keepLines/>
        <w:spacing w:after="140"/>
      </w:pPr>
      <w:r w:rsidRPr="00F96BF0">
        <w:t>The economy-wide analysis concludes that the Project would lead to:</w:t>
      </w:r>
    </w:p>
    <w:p w14:paraId="7577E2E1" w14:textId="604142A6" w:rsidR="00F96BF0" w:rsidRPr="00C37EE0" w:rsidRDefault="00F96BF0" w:rsidP="00C37EE0">
      <w:pPr>
        <w:pStyle w:val="ListBullet"/>
        <w:keepNext/>
        <w:keepLines/>
        <w:spacing w:after="120" w:line="240" w:lineRule="auto"/>
      </w:pPr>
      <w:r w:rsidRPr="00C37EE0">
        <w:t>An increase in Australia's GDP of $4.5 billion by 2050</w:t>
      </w:r>
    </w:p>
    <w:p w14:paraId="1347DB29" w14:textId="42A6C54D" w:rsidR="00F96BF0" w:rsidRPr="00C37EE0" w:rsidRDefault="00F96BF0" w:rsidP="00C37EE0">
      <w:pPr>
        <w:pStyle w:val="ListBullet"/>
        <w:keepNext/>
        <w:keepLines/>
        <w:spacing w:after="120" w:line="240" w:lineRule="auto"/>
      </w:pPr>
      <w:r w:rsidRPr="00C37EE0">
        <w:t>An increase in the Gross Regional Product of the study area of $0.9 billion by 2050</w:t>
      </w:r>
    </w:p>
    <w:p w14:paraId="46AF6C77" w14:textId="12EC0380" w:rsidR="00F96BF0" w:rsidRPr="00C37EE0" w:rsidRDefault="00F96BF0" w:rsidP="007F5AC6">
      <w:pPr>
        <w:pStyle w:val="ListBullet"/>
        <w:keepNext/>
        <w:keepLines/>
        <w:spacing w:after="120" w:line="240" w:lineRule="auto"/>
      </w:pPr>
      <w:r w:rsidRPr="00C37EE0">
        <w:t>An increase in Victorian investment of $2.0 billion by 2050, partially offset across the rest of Australia</w:t>
      </w:r>
    </w:p>
    <w:p w14:paraId="52E0F063" w14:textId="034F07E4" w:rsidR="00F96BF0" w:rsidRPr="00C37EE0" w:rsidRDefault="00F96BF0" w:rsidP="007F5AC6">
      <w:pPr>
        <w:pStyle w:val="ListBullet"/>
        <w:keepNext/>
        <w:keepLines/>
        <w:spacing w:after="120" w:line="240" w:lineRule="auto"/>
      </w:pPr>
      <w:r w:rsidRPr="00C37EE0">
        <w:t>An increase in private and government consumption in Australia of $3.7 billion and $1.4 billion respectively, by 2050</w:t>
      </w:r>
    </w:p>
    <w:p w14:paraId="1A72FA08" w14:textId="77777777" w:rsidR="00F96BF0" w:rsidRPr="00C37EE0" w:rsidRDefault="00F96BF0" w:rsidP="00C37EE0">
      <w:pPr>
        <w:pStyle w:val="ListBullet"/>
        <w:spacing w:line="240" w:lineRule="auto"/>
      </w:pPr>
      <w:r w:rsidRPr="00C37EE0">
        <w:t xml:space="preserve">A $4.7 billion net increase in living standards in Australia by 2050. </w:t>
      </w:r>
    </w:p>
    <w:p w14:paraId="47EEC63E" w14:textId="77777777" w:rsidR="00F96BF0" w:rsidRDefault="00F96BF0" w:rsidP="00C37EE0">
      <w:pPr>
        <w:spacing w:before="200" w:after="140"/>
      </w:pPr>
      <w:r w:rsidRPr="00F96BF0">
        <w:t>With application of the EPRs, residual business impacts of the Project are considered to include:</w:t>
      </w:r>
    </w:p>
    <w:p w14:paraId="2E382159" w14:textId="77777777" w:rsidR="00F96BF0" w:rsidRDefault="00F96BF0" w:rsidP="00C37EE0">
      <w:pPr>
        <w:pStyle w:val="ListBullet"/>
        <w:spacing w:after="140"/>
      </w:pPr>
      <w:r>
        <w:t>A largely neutral effect for most industries in the study area throughout the Project’s construction, operation and decommissioning stages</w:t>
      </w:r>
      <w:r w:rsidR="0091783A">
        <w:t>.</w:t>
      </w:r>
    </w:p>
    <w:p w14:paraId="3A643198" w14:textId="77777777" w:rsidR="00F96BF0" w:rsidRDefault="00F96BF0" w:rsidP="00C37EE0">
      <w:pPr>
        <w:pStyle w:val="ListBullet"/>
        <w:spacing w:after="120"/>
      </w:pPr>
      <w:r>
        <w:t xml:space="preserve">Potential negative impacts during construction on businesses in the ‘Accommodation and Food Services’ and ‘Arts and Recreation Services’ industries within 2km of the Project. </w:t>
      </w:r>
      <w:r w:rsidR="003546D6" w:rsidRPr="003546D6">
        <w:t xml:space="preserve">There are 27 businesses in the ‘Accommodation and Food Services’ industry and 21 businesses in the ‘Arts and Recreation Services’ industry within 2km of the Project (see </w:t>
      </w:r>
      <w:r w:rsidR="003546D6" w:rsidRPr="003A1B04">
        <w:rPr>
          <w:b/>
          <w:bCs/>
        </w:rPr>
        <w:t>Technical Report G: Economic Impact Assessment</w:t>
      </w:r>
      <w:r w:rsidR="003546D6" w:rsidRPr="003546D6">
        <w:t>). Residual impacts on businesses in these industries would occur for a relatively short period, with construction activity (from mobilisation to de-mobilisation) at each tower expected to take about nine to 22 weeks over a two-year period, depending on weather and if tasks are able to immediately follow one another. The Business Mitigation and Support Strategy for directly affected businesses (EPR EC1) and Business Mitigation and Support Strategy for businesses within 2km (EPR EC3)</w:t>
      </w:r>
      <w:r w:rsidR="003546D6">
        <w:t xml:space="preserve"> </w:t>
      </w:r>
      <w:r>
        <w:t xml:space="preserve">will be implemented to avoid, minimise and mitigate potential negative economic impacts of the Project on potentially affected businesses (both infrastructure and day to day operations). </w:t>
      </w:r>
    </w:p>
    <w:p w14:paraId="30CF5B07" w14:textId="77777777" w:rsidR="00F96BF0" w:rsidRDefault="00F96BF0" w:rsidP="00C37EE0">
      <w:pPr>
        <w:pStyle w:val="ListBullet"/>
        <w:spacing w:after="120"/>
      </w:pPr>
      <w:r>
        <w:t xml:space="preserve">Potential positive impacts during construction on businesses in the ‘Manufacturing’ industry within the study area. </w:t>
      </w:r>
      <w:r w:rsidR="004D31E6" w:rsidRPr="004D31E6">
        <w:t xml:space="preserve">There are 1,197 ‘Manufacturing’ businesses in the study area (see </w:t>
      </w:r>
      <w:r w:rsidR="004D31E6" w:rsidRPr="003A1B04">
        <w:rPr>
          <w:b/>
          <w:bCs/>
        </w:rPr>
        <w:t>Technical Report G: Economic Impact Assessment</w:t>
      </w:r>
      <w:r w:rsidR="004D31E6" w:rsidRPr="004D31E6">
        <w:t>), with the industry as a whole expected to potentially experience a positive impact from the Project, associated with the procurement of key Project materials such as concrete or steel. This impact will be largely dependent on the procurement strategy adopted for the Project. Prior to commencement of construction, AusNet will develop and implement initiatives to increase positive social and economic impacts through the procurement of goods and services from local communities and social enterprises, including initiatives and commitments to prioritise to the extent practicable the procurement of goods and services from local businesses, sustainable social enterprises and Aboriginal-owned businesses (EPR EC2).</w:t>
      </w:r>
    </w:p>
    <w:p w14:paraId="1DE3E7F9" w14:textId="15E13DE4" w:rsidR="00F96BF0" w:rsidRDefault="00F96BF0" w:rsidP="00F96BF0">
      <w:pPr>
        <w:pStyle w:val="ListBullet"/>
      </w:pPr>
      <w:r>
        <w:t xml:space="preserve">Potential negative </w:t>
      </w:r>
      <w:r w:rsidR="00FE1489" w:rsidRPr="00FE1489">
        <w:t xml:space="preserve">and long-term (given the 80-year service life of the transmission line) </w:t>
      </w:r>
      <w:r>
        <w:t xml:space="preserve">impacts during Project operation on individual businesses in the ‘Accommodation and Food Services’ and ‘Arts and Recreation Services’ industries, without an industry-level effect. </w:t>
      </w:r>
      <w:r w:rsidR="00247931" w:rsidRPr="00247931">
        <w:t xml:space="preserve">Businesses that rely on the amenity of the natural landscape to attract visitation may experience modest negative economic effects during Project operation due to reduced visual amenity. There are 16 businesses in the ‘Accommodation and Food Services’ and ‘Arts and Recreation Services’ located within 2km of the Project that have been identified as potentially susceptible to potential effects on amenity, as they are dependent to some extent on the existing aesthetic quality of their surrounds to attract visitors (see </w:t>
      </w:r>
      <w:r w:rsidR="00247931" w:rsidRPr="003A1B04">
        <w:rPr>
          <w:b/>
          <w:bCs/>
        </w:rPr>
        <w:t>Technical Report F: Social Impact Assessment</w:t>
      </w:r>
      <w:r w:rsidR="00247931" w:rsidRPr="00247931">
        <w:t xml:space="preserve">). </w:t>
      </w:r>
      <w:r>
        <w:t xml:space="preserve">At an industry level, the potential impact of the Project is considered to be neutral for businesses in these industries. The Business Mitigation and Support Strategy </w:t>
      </w:r>
      <w:r w:rsidR="0009621D">
        <w:t xml:space="preserve">for directly affected businesses </w:t>
      </w:r>
      <w:r>
        <w:t xml:space="preserve">and Business Mitigation and Support Strategy </w:t>
      </w:r>
      <w:r w:rsidR="00C9669B">
        <w:t xml:space="preserve">for eligible businesses within 2km </w:t>
      </w:r>
      <w:r>
        <w:t xml:space="preserve">will be implemented to avoid, minimise and mitigate potential negative economic impacts of the Project on potentially affected businesses (both infrastructure and day to day operations) (EPR EC1 and </w:t>
      </w:r>
      <w:r w:rsidR="007E591E">
        <w:t>EPR</w:t>
      </w:r>
      <w:r>
        <w:t xml:space="preserve"> EC3).</w:t>
      </w:r>
    </w:p>
    <w:p w14:paraId="7BC47931" w14:textId="126668AA" w:rsidR="008B43E6" w:rsidRDefault="00F96BF0" w:rsidP="008B43E6">
      <w:pPr>
        <w:rPr>
          <w:i/>
          <w:iCs/>
        </w:rPr>
      </w:pPr>
      <w:r w:rsidRPr="00F96BF0">
        <w:t xml:space="preserve">With the implementation of measures to comply with EPRs, it is considered that the Project meets the economic aspects of the evaluation objective </w:t>
      </w:r>
      <w:r w:rsidR="003A1B04">
        <w:rPr>
          <w:i/>
          <w:iCs/>
        </w:rPr>
        <w:t>“</w:t>
      </w:r>
      <w:r w:rsidRPr="00F96BF0">
        <w:rPr>
          <w:i/>
          <w:iCs/>
        </w:rPr>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r w:rsidR="008B43E6">
        <w:rPr>
          <w:i/>
          <w:iCs/>
        </w:rPr>
        <w:br w:type="page"/>
      </w:r>
    </w:p>
    <w:p w14:paraId="632397EF" w14:textId="7A908796" w:rsidR="00F96BF0" w:rsidRPr="00F96BF0" w:rsidRDefault="008B43E6" w:rsidP="00F96BF0">
      <w:pPr>
        <w:rPr>
          <w:i/>
          <w:iCs/>
        </w:rPr>
      </w:pPr>
      <w:r>
        <w:rPr>
          <w:i/>
          <w:iCs/>
          <w:noProof/>
        </w:rPr>
        <w:lastRenderedPageBreak/>
        <w:drawing>
          <wp:anchor distT="0" distB="0" distL="114300" distR="114300" simplePos="0" relativeHeight="251658245" behindDoc="0" locked="0" layoutInCell="1" allowOverlap="1" wp14:anchorId="15AE7164" wp14:editId="774E39EA">
            <wp:simplePos x="0" y="0"/>
            <wp:positionH relativeFrom="column">
              <wp:posOffset>-900431</wp:posOffset>
            </wp:positionH>
            <wp:positionV relativeFrom="paragraph">
              <wp:posOffset>-900430</wp:posOffset>
            </wp:positionV>
            <wp:extent cx="7562393" cy="10696575"/>
            <wp:effectExtent l="0" t="0" r="635" b="0"/>
            <wp:wrapNone/>
            <wp:docPr id="595903037" name="Picture 1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03037" name="Picture 11" descr="A close-up of a let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73292" cy="10711991"/>
                    </a:xfrm>
                    <a:prstGeom prst="rect">
                      <a:avLst/>
                    </a:prstGeom>
                  </pic:spPr>
                </pic:pic>
              </a:graphicData>
            </a:graphic>
            <wp14:sizeRelH relativeFrom="margin">
              <wp14:pctWidth>0</wp14:pctWidth>
            </wp14:sizeRelH>
            <wp14:sizeRelV relativeFrom="margin">
              <wp14:pctHeight>0</wp14:pctHeight>
            </wp14:sizeRelV>
          </wp:anchor>
        </w:drawing>
      </w:r>
    </w:p>
    <w:sectPr w:rsidR="00F96BF0" w:rsidRPr="00F96BF0" w:rsidSect="003A1B04">
      <w:footnotePr>
        <w:numRestart w:val="eachPage"/>
      </w:footnotePr>
      <w:type w:val="continuous"/>
      <w:pgSz w:w="11906" w:h="16838" w:code="9"/>
      <w:pgMar w:top="1418" w:right="1418" w:bottom="1418" w:left="1418" w:header="1134" w:footer="34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D8037" w14:textId="77777777" w:rsidR="008B1898" w:rsidRDefault="008B1898" w:rsidP="00CC6183">
      <w:r>
        <w:separator/>
      </w:r>
    </w:p>
  </w:endnote>
  <w:endnote w:type="continuationSeparator" w:id="0">
    <w:p w14:paraId="153AB50F" w14:textId="77777777" w:rsidR="008B1898" w:rsidRDefault="008B1898" w:rsidP="00CC6183">
      <w:r>
        <w:continuationSeparator/>
      </w:r>
    </w:p>
  </w:endnote>
  <w:endnote w:type="continuationNotice" w:id="1">
    <w:p w14:paraId="33F8CBA5" w14:textId="77777777" w:rsidR="008B1898" w:rsidRDefault="008B18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1308F" w14:textId="081B459D" w:rsidR="00E276CC" w:rsidRDefault="005D554E" w:rsidP="00E276CC">
    <w:pPr>
      <w:pStyle w:val="FooterLeft"/>
      <w:framePr w:wrap="around"/>
    </w:pPr>
    <w:r>
      <w:rPr>
        <w:noProof/>
      </w:rPr>
      <mc:AlternateContent>
        <mc:Choice Requires="wps">
          <w:drawing>
            <wp:anchor distT="0" distB="0" distL="0" distR="0" simplePos="0" relativeHeight="251658242" behindDoc="0" locked="0" layoutInCell="1" allowOverlap="1" wp14:anchorId="194A3A6E" wp14:editId="77E0D0C5">
              <wp:simplePos x="635" y="635"/>
              <wp:positionH relativeFrom="page">
                <wp:align>center</wp:align>
              </wp:positionH>
              <wp:positionV relativeFrom="page">
                <wp:align>bottom</wp:align>
              </wp:positionV>
              <wp:extent cx="295910" cy="307975"/>
              <wp:effectExtent l="0" t="0" r="8890" b="0"/>
              <wp:wrapNone/>
              <wp:docPr id="212502319" name="Text Box 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9F03EA9" w14:textId="50A09EED"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A3A6E" id="_x0000_t202" coordsize="21600,21600" o:spt="202" path="m,l,21600r21600,l21600,xe">
              <v:stroke joinstyle="miter"/>
              <v:path gradientshapeok="t" o:connecttype="rect"/>
            </v:shapetype>
            <v:shape id="Text Box 7" o:spid="_x0000_s1027"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39F03EA9" w14:textId="50A09EED"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4A242E">
      <w:rPr>
        <w:noProof/>
      </w:rPr>
      <w:t>Aboriginal cultural heritage</w:t>
    </w:r>
    <w:r w:rsidR="00E276CC">
      <w:rPr>
        <w:noProof/>
      </w:rPr>
      <w:fldChar w:fldCharType="end"/>
    </w:r>
    <w:r w:rsidR="00E276CC">
      <w:rPr>
        <w:noProof/>
      </w:rPr>
      <w:t xml:space="preserve"> </w:t>
    </w:r>
  </w:p>
  <w:p w14:paraId="1F70B3D2" w14:textId="77777777" w:rsidR="00425260" w:rsidRPr="0063022F" w:rsidRDefault="00DF2B3A"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E276CC">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161D" w14:textId="0D41846C" w:rsidR="005D554E" w:rsidRDefault="005D554E">
    <w:pPr>
      <w:pStyle w:val="Footer"/>
    </w:pPr>
    <w:r>
      <w:rPr>
        <w:noProof/>
      </w:rPr>
      <mc:AlternateContent>
        <mc:Choice Requires="wps">
          <w:drawing>
            <wp:anchor distT="0" distB="0" distL="0" distR="0" simplePos="0" relativeHeight="251658251" behindDoc="0" locked="0" layoutInCell="1" allowOverlap="1" wp14:anchorId="2581D224" wp14:editId="7C080B5B">
              <wp:simplePos x="902525" y="10355283"/>
              <wp:positionH relativeFrom="page">
                <wp:align>center</wp:align>
              </wp:positionH>
              <wp:positionV relativeFrom="page">
                <wp:align>bottom</wp:align>
              </wp:positionV>
              <wp:extent cx="295910" cy="307975"/>
              <wp:effectExtent l="0" t="0" r="8890" b="0"/>
              <wp:wrapNone/>
              <wp:docPr id="1842971708"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84780CA" w14:textId="2A24902A"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1D224" id="_x0000_t202" coordsize="21600,21600" o:spt="202" path="m,l,21600r21600,l21600,xe">
              <v:stroke joinstyle="miter"/>
              <v:path gradientshapeok="t" o:connecttype="rect"/>
            </v:shapetype>
            <v:shape id="Text Box 16" o:spid="_x0000_s1036" type="#_x0000_t202" alt="PUBLIC" style="position:absolute;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384780CA" w14:textId="2A24902A"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0ACD" w14:textId="04D0732C" w:rsidR="003A1B04" w:rsidRPr="00BC4E10" w:rsidRDefault="005D554E" w:rsidP="003A1B04">
    <w:pPr>
      <w:pStyle w:val="Footerright"/>
      <w:framePr w:wrap="around"/>
    </w:pPr>
    <w:r>
      <w:rPr>
        <w:noProof/>
      </w:rPr>
      <mc:AlternateContent>
        <mc:Choice Requires="wps">
          <w:drawing>
            <wp:anchor distT="0" distB="0" distL="0" distR="0" simplePos="0" relativeHeight="251658246" behindDoc="0" locked="0" layoutInCell="1" allowOverlap="1" wp14:anchorId="61312CCE" wp14:editId="19E13F14">
              <wp:simplePos x="3776353" y="10248405"/>
              <wp:positionH relativeFrom="page">
                <wp:align>center</wp:align>
              </wp:positionH>
              <wp:positionV relativeFrom="page">
                <wp:align>bottom</wp:align>
              </wp:positionV>
              <wp:extent cx="295910" cy="307975"/>
              <wp:effectExtent l="0" t="0" r="8890" b="0"/>
              <wp:wrapNone/>
              <wp:docPr id="1928106"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F876C18" w14:textId="694AB0CE"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12CCE" id="_x0000_t202" coordsize="21600,21600" o:spt="202" path="m,l,21600r21600,l21600,xe">
              <v:stroke joinstyle="miter"/>
              <v:path gradientshapeok="t" o:connecttype="rect"/>
            </v:shapetype>
            <v:shape id="Text Box 17" o:spid="_x0000_s1037" type="#_x0000_t202" alt="PUBLIC" style="position:absolute;left:0;text-align:left;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5F876C18" w14:textId="694AB0CE"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sidR="00DF2B3A">
        <w:rPr>
          <w:noProof/>
        </w:rPr>
        <w:t>Economic</w:t>
      </w:r>
    </w:fldSimple>
    <w:r w:rsidR="003A1B04">
      <w:t xml:space="preserve"> </w:t>
    </w:r>
    <w:r w:rsidR="003A1B04" w:rsidRPr="00BC4E10">
      <w:t xml:space="preserve">| </w:t>
    </w:r>
    <w:r w:rsidR="003A1B04" w:rsidRPr="00BC4E10">
      <w:fldChar w:fldCharType="begin"/>
    </w:r>
    <w:r w:rsidR="003A1B04" w:rsidRPr="00BC4E10">
      <w:instrText xml:space="preserve"> PAGE   \* MERGEFORMAT </w:instrText>
    </w:r>
    <w:r w:rsidR="003A1B04" w:rsidRPr="00BC4E10">
      <w:fldChar w:fldCharType="separate"/>
    </w:r>
    <w:r w:rsidR="003A1B04">
      <w:t>1-1</w:t>
    </w:r>
    <w:r w:rsidR="003A1B04" w:rsidRPr="00BC4E10">
      <w:fldChar w:fldCharType="end"/>
    </w:r>
  </w:p>
  <w:p w14:paraId="33BA100C" w14:textId="77777777" w:rsidR="003A1B04" w:rsidRPr="003A1B04" w:rsidRDefault="003A1B04" w:rsidP="003A1B0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8709" w14:textId="5F00994E" w:rsidR="005D554E" w:rsidRDefault="005D554E">
    <w:pPr>
      <w:pStyle w:val="Footer"/>
    </w:pPr>
    <w:r>
      <w:rPr>
        <w:noProof/>
      </w:rPr>
      <mc:AlternateContent>
        <mc:Choice Requires="wps">
          <w:drawing>
            <wp:anchor distT="0" distB="0" distL="0" distR="0" simplePos="0" relativeHeight="251658252" behindDoc="0" locked="0" layoutInCell="1" allowOverlap="1" wp14:anchorId="35062EFC" wp14:editId="4ECD4DE2">
              <wp:simplePos x="635" y="635"/>
              <wp:positionH relativeFrom="page">
                <wp:align>center</wp:align>
              </wp:positionH>
              <wp:positionV relativeFrom="page">
                <wp:align>bottom</wp:align>
              </wp:positionV>
              <wp:extent cx="295910" cy="307975"/>
              <wp:effectExtent l="0" t="0" r="8890" b="0"/>
              <wp:wrapNone/>
              <wp:docPr id="1613762918"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DA41A44" w14:textId="0B90604C"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062EFC" id="_x0000_t202" coordsize="21600,21600" o:spt="202" path="m,l,21600r21600,l21600,xe">
              <v:stroke joinstyle="miter"/>
              <v:path gradientshapeok="t" o:connecttype="rect"/>
            </v:shapetype>
            <v:shape id="Text Box 15" o:spid="_x0000_s1038" type="#_x0000_t202" alt="PUBLIC" style="position:absolute;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DA41A44" w14:textId="0B90604C"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1044" w14:textId="0F90F938" w:rsidR="00E276CC" w:rsidRDefault="005D554E" w:rsidP="00E276CC">
    <w:pPr>
      <w:pStyle w:val="FooterLeft"/>
      <w:framePr w:wrap="around"/>
    </w:pPr>
    <w:r>
      <w:rPr>
        <w:noProof/>
      </w:rPr>
      <mc:AlternateContent>
        <mc:Choice Requires="wps">
          <w:drawing>
            <wp:anchor distT="0" distB="0" distL="0" distR="0" simplePos="0" relativeHeight="251658243" behindDoc="0" locked="0" layoutInCell="1" allowOverlap="1" wp14:anchorId="47B59B6E" wp14:editId="319358A3">
              <wp:simplePos x="635" y="635"/>
              <wp:positionH relativeFrom="page">
                <wp:align>center</wp:align>
              </wp:positionH>
              <wp:positionV relativeFrom="page">
                <wp:align>bottom</wp:align>
              </wp:positionV>
              <wp:extent cx="295910" cy="307975"/>
              <wp:effectExtent l="0" t="0" r="8890" b="0"/>
              <wp:wrapNone/>
              <wp:docPr id="1825488115" name="Text Box 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6A7D06F" w14:textId="7EF4233D"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B59B6E" id="_x0000_t202" coordsize="21600,21600" o:spt="202" path="m,l,21600r21600,l21600,xe">
              <v:stroke joinstyle="miter"/>
              <v:path gradientshapeok="t" o:connecttype="rect"/>
            </v:shapetype>
            <v:shape id="Text Box 8" o:spid="_x0000_s1028"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56A7D06F" w14:textId="7EF4233D"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E276CC">
          <w:rPr>
            <w:rStyle w:val="PlaceholderText"/>
          </w:rPr>
          <w:t>[00] linked to document details</w:t>
        </w:r>
      </w:sdtContent>
    </w:sdt>
  </w:p>
  <w:p w14:paraId="47A807CC" w14:textId="77777777" w:rsidR="009912CB" w:rsidRPr="00BC4E10" w:rsidRDefault="004A242E" w:rsidP="00E276CC">
    <w:pPr>
      <w:pStyle w:val="Footerright"/>
      <w:framePr w:wrap="around"/>
    </w:pPr>
    <w:fldSimple w:instr="STYLEREF  &quot;Heading 1&quot;  \* MERGEFORMAT">
      <w:r>
        <w:rPr>
          <w:noProof/>
        </w:rPr>
        <w:t>Aboriginal cultural heritage</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178D7" w14:textId="003E0C3B" w:rsidR="00084150" w:rsidRDefault="005D554E">
    <w:pPr>
      <w:pStyle w:val="Footer"/>
    </w:pPr>
    <w:r>
      <w:rPr>
        <w:noProof/>
      </w:rPr>
      <mc:AlternateContent>
        <mc:Choice Requires="wps">
          <w:drawing>
            <wp:anchor distT="0" distB="0" distL="0" distR="0" simplePos="0" relativeHeight="251658241" behindDoc="0" locked="0" layoutInCell="1" allowOverlap="1" wp14:anchorId="6767DFCA" wp14:editId="686F4A24">
              <wp:simplePos x="902525" y="10355283"/>
              <wp:positionH relativeFrom="page">
                <wp:align>center</wp:align>
              </wp:positionH>
              <wp:positionV relativeFrom="page">
                <wp:align>bottom</wp:align>
              </wp:positionV>
              <wp:extent cx="295910" cy="307975"/>
              <wp:effectExtent l="0" t="0" r="8890" b="0"/>
              <wp:wrapNone/>
              <wp:docPr id="677219616"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498A197" w14:textId="0E7BEA10"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7DFCA" id="_x0000_t202" coordsize="21600,21600" o:spt="202" path="m,l,21600r21600,l21600,xe">
              <v:stroke joinstyle="miter"/>
              <v:path gradientshapeok="t" o:connecttype="rect"/>
            </v:shapetype>
            <v:shape id="Text Box 6" o:spid="_x0000_s1029"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2498A197" w14:textId="0E7BEA10"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75AF" w14:textId="0406461E" w:rsidR="003A1B04" w:rsidRDefault="005D554E" w:rsidP="003A1B04">
    <w:pPr>
      <w:pStyle w:val="FooterLeft"/>
      <w:framePr w:wrap="around"/>
    </w:pPr>
    <w:r>
      <w:rPr>
        <w:noProof/>
      </w:rPr>
      <mc:AlternateContent>
        <mc:Choice Requires="wps">
          <w:drawing>
            <wp:anchor distT="0" distB="0" distL="0" distR="0" simplePos="0" relativeHeight="251658244" behindDoc="0" locked="0" layoutInCell="1" allowOverlap="1" wp14:anchorId="3908A81C" wp14:editId="36EB9963">
              <wp:simplePos x="902525" y="10248405"/>
              <wp:positionH relativeFrom="page">
                <wp:align>center</wp:align>
              </wp:positionH>
              <wp:positionV relativeFrom="page">
                <wp:align>bottom</wp:align>
              </wp:positionV>
              <wp:extent cx="295910" cy="307975"/>
              <wp:effectExtent l="0" t="0" r="8890" b="0"/>
              <wp:wrapNone/>
              <wp:docPr id="1156054826"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6A4E9EB" w14:textId="3FAEC725"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8A81C" id="_x0000_t202" coordsize="21600,21600" o:spt="202" path="m,l,21600r21600,l21600,xe">
              <v:stroke joinstyle="miter"/>
              <v:path gradientshapeok="t" o:connecttype="rect"/>
            </v:shapetype>
            <v:shape id="Text Box 10" o:spid="_x0000_s1030"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46A4E9EB" w14:textId="3FAEC725"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3A1B04" w:rsidRPr="00BC4E10">
      <w:fldChar w:fldCharType="begin"/>
    </w:r>
    <w:r w:rsidR="003A1B04" w:rsidRPr="00BC4E10">
      <w:instrText xml:space="preserve"> PAGE   \* MERGEFORMAT </w:instrText>
    </w:r>
    <w:r w:rsidR="003A1B04" w:rsidRPr="00BC4E10">
      <w:fldChar w:fldCharType="separate"/>
    </w:r>
    <w:r w:rsidR="003A1B04">
      <w:t>1-2</w:t>
    </w:r>
    <w:r w:rsidR="003A1B04" w:rsidRPr="00BC4E10">
      <w:fldChar w:fldCharType="end"/>
    </w:r>
    <w:r w:rsidR="003A1B04">
      <w:t xml:space="preserve"> | </w:t>
    </w:r>
    <w:r w:rsidR="003A1B04">
      <w:rPr>
        <w:noProof/>
      </w:rPr>
      <w:fldChar w:fldCharType="begin"/>
    </w:r>
    <w:r w:rsidR="003A1B04">
      <w:rPr>
        <w:noProof/>
      </w:rPr>
      <w:instrText xml:space="preserve"> STYLEREF  "Heading 1"  \* MERGEFORMAT </w:instrText>
    </w:r>
    <w:r w:rsidR="003A1B04">
      <w:rPr>
        <w:noProof/>
      </w:rPr>
      <w:fldChar w:fldCharType="separate"/>
    </w:r>
    <w:r>
      <w:rPr>
        <w:noProof/>
      </w:rPr>
      <w:t>Economic</w:t>
    </w:r>
    <w:r w:rsidR="003A1B04">
      <w:rPr>
        <w:noProof/>
      </w:rPr>
      <w:fldChar w:fldCharType="end"/>
    </w:r>
    <w:r w:rsidR="003A1B04">
      <w:rPr>
        <w:noProof/>
      </w:rPr>
      <w:t xml:space="preserve"> </w:t>
    </w:r>
  </w:p>
  <w:p w14:paraId="26F6897A" w14:textId="77777777" w:rsidR="00B94E62" w:rsidRDefault="00B94E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C7F1" w14:textId="4713AC11" w:rsidR="005D554E" w:rsidRDefault="005D554E">
    <w:pPr>
      <w:pStyle w:val="Footer"/>
    </w:pPr>
    <w:r>
      <w:rPr>
        <w:noProof/>
      </w:rPr>
      <mc:AlternateContent>
        <mc:Choice Requires="wps">
          <w:drawing>
            <wp:anchor distT="0" distB="0" distL="0" distR="0" simplePos="0" relativeHeight="251658247" behindDoc="0" locked="0" layoutInCell="1" allowOverlap="1" wp14:anchorId="58BCD9EC" wp14:editId="66EEDE9B">
              <wp:simplePos x="635" y="635"/>
              <wp:positionH relativeFrom="page">
                <wp:align>center</wp:align>
              </wp:positionH>
              <wp:positionV relativeFrom="page">
                <wp:align>bottom</wp:align>
              </wp:positionV>
              <wp:extent cx="295910" cy="307975"/>
              <wp:effectExtent l="0" t="0" r="8890" b="0"/>
              <wp:wrapNone/>
              <wp:docPr id="1280965166"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78AEFC8" w14:textId="681D941C"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BCD9EC" id="_x0000_t202" coordsize="21600,21600" o:spt="202" path="m,l,21600r21600,l21600,xe">
              <v:stroke joinstyle="miter"/>
              <v:path gradientshapeok="t" o:connecttype="rect"/>
            </v:shapetype>
            <v:shape id="Text Box 11" o:spid="_x0000_s1031" type="#_x0000_t202" alt="PUBLIC" style="position:absolute;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378AEFC8" w14:textId="681D941C"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3FAD" w14:textId="7E96789A" w:rsidR="005D554E" w:rsidRDefault="005D554E">
    <w:pPr>
      <w:pStyle w:val="Footer"/>
    </w:pPr>
    <w:r>
      <w:rPr>
        <w:noProof/>
      </w:rPr>
      <mc:AlternateContent>
        <mc:Choice Requires="wps">
          <w:drawing>
            <wp:anchor distT="0" distB="0" distL="0" distR="0" simplePos="0" relativeHeight="251658248" behindDoc="0" locked="0" layoutInCell="1" allowOverlap="1" wp14:anchorId="6D9DAEB1" wp14:editId="4B5D5593">
              <wp:simplePos x="635" y="635"/>
              <wp:positionH relativeFrom="page">
                <wp:align>center</wp:align>
              </wp:positionH>
              <wp:positionV relativeFrom="page">
                <wp:align>bottom</wp:align>
              </wp:positionV>
              <wp:extent cx="295910" cy="307975"/>
              <wp:effectExtent l="0" t="0" r="8890" b="0"/>
              <wp:wrapNone/>
              <wp:docPr id="1348953116"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27D3900" w14:textId="0900785D"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DAEB1" id="_x0000_t202" coordsize="21600,21600" o:spt="202" path="m,l,21600r21600,l21600,xe">
              <v:stroke joinstyle="miter"/>
              <v:path gradientshapeok="t" o:connecttype="rect"/>
            </v:shapetype>
            <v:shape id="Text Box 9" o:spid="_x0000_s1032" type="#_x0000_t202" alt="PUBLIC" style="position:absolute;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327D3900" w14:textId="0900785D"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4D00" w14:textId="33C770CE" w:rsidR="005D554E" w:rsidRDefault="005D554E">
    <w:pPr>
      <w:pStyle w:val="Footer"/>
    </w:pPr>
    <w:r>
      <w:rPr>
        <w:noProof/>
      </w:rPr>
      <mc:AlternateContent>
        <mc:Choice Requires="wps">
          <w:drawing>
            <wp:anchor distT="0" distB="0" distL="0" distR="0" simplePos="0" relativeHeight="251658249" behindDoc="0" locked="0" layoutInCell="1" allowOverlap="1" wp14:anchorId="053F562C" wp14:editId="5B3F15D0">
              <wp:simplePos x="902525" y="10355283"/>
              <wp:positionH relativeFrom="page">
                <wp:align>center</wp:align>
              </wp:positionH>
              <wp:positionV relativeFrom="page">
                <wp:align>bottom</wp:align>
              </wp:positionV>
              <wp:extent cx="295910" cy="307975"/>
              <wp:effectExtent l="0" t="0" r="8890" b="0"/>
              <wp:wrapNone/>
              <wp:docPr id="1273024038"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E270CE6" w14:textId="2B2692CC"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F562C" id="_x0000_t202" coordsize="21600,21600" o:spt="202" path="m,l,21600r21600,l21600,xe">
              <v:stroke joinstyle="miter"/>
              <v:path gradientshapeok="t" o:connecttype="rect"/>
            </v:shapetype>
            <v:shape id="Text Box 13" o:spid="_x0000_s1033" type="#_x0000_t202" alt="PUBLIC" style="position:absolute;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E270CE6" w14:textId="2B2692CC"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EF210" w14:textId="0FE85343" w:rsidR="003A1B04" w:rsidRPr="00BC4E10" w:rsidRDefault="005D554E" w:rsidP="003A1B04">
    <w:pPr>
      <w:pStyle w:val="Footerright"/>
      <w:framePr w:wrap="around"/>
    </w:pPr>
    <w:r>
      <w:rPr>
        <w:noProof/>
      </w:rPr>
      <mc:AlternateContent>
        <mc:Choice Requires="wps">
          <w:drawing>
            <wp:anchor distT="0" distB="0" distL="0" distR="0" simplePos="0" relativeHeight="251658245" behindDoc="0" locked="0" layoutInCell="1" allowOverlap="1" wp14:anchorId="1210769F" wp14:editId="542EE376">
              <wp:simplePos x="3776353" y="10248405"/>
              <wp:positionH relativeFrom="page">
                <wp:align>center</wp:align>
              </wp:positionH>
              <wp:positionV relativeFrom="page">
                <wp:align>bottom</wp:align>
              </wp:positionV>
              <wp:extent cx="295910" cy="307975"/>
              <wp:effectExtent l="0" t="0" r="8890" b="0"/>
              <wp:wrapNone/>
              <wp:docPr id="1354132260"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28CD518" w14:textId="4FD7ED2F"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10769F" id="_x0000_t202" coordsize="21600,21600" o:spt="202" path="m,l,21600r21600,l21600,xe">
              <v:stroke joinstyle="miter"/>
              <v:path gradientshapeok="t" o:connecttype="rect"/>
            </v:shapetype>
            <v:shape id="Text Box 14" o:spid="_x0000_s1034" type="#_x0000_t202" alt="PUBLIC" style="position:absolute;left:0;text-align:left;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28CD518" w14:textId="4FD7ED2F"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sidR="00DF2B3A">
        <w:rPr>
          <w:noProof/>
        </w:rPr>
        <w:t>Economic</w:t>
      </w:r>
    </w:fldSimple>
    <w:r w:rsidR="003A1B04">
      <w:t xml:space="preserve"> </w:t>
    </w:r>
    <w:r w:rsidR="003A1B04" w:rsidRPr="00BC4E10">
      <w:t xml:space="preserve">| </w:t>
    </w:r>
    <w:r w:rsidR="003A1B04" w:rsidRPr="00BC4E10">
      <w:fldChar w:fldCharType="begin"/>
    </w:r>
    <w:r w:rsidR="003A1B04" w:rsidRPr="00BC4E10">
      <w:instrText xml:space="preserve"> PAGE   \* MERGEFORMAT </w:instrText>
    </w:r>
    <w:r w:rsidR="003A1B04" w:rsidRPr="00BC4E10">
      <w:fldChar w:fldCharType="separate"/>
    </w:r>
    <w:r w:rsidR="003A1B04">
      <w:t>1-1</w:t>
    </w:r>
    <w:r w:rsidR="003A1B04" w:rsidRPr="00BC4E10">
      <w:fldChar w:fldCharType="end"/>
    </w:r>
  </w:p>
  <w:p w14:paraId="26C93412" w14:textId="77777777" w:rsidR="003A1B04" w:rsidRPr="003A1B04" w:rsidRDefault="003A1B04" w:rsidP="003A1B0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0816" w14:textId="5AEB6562" w:rsidR="005D554E" w:rsidRDefault="005D554E">
    <w:pPr>
      <w:pStyle w:val="Footer"/>
    </w:pPr>
    <w:r>
      <w:rPr>
        <w:noProof/>
      </w:rPr>
      <mc:AlternateContent>
        <mc:Choice Requires="wps">
          <w:drawing>
            <wp:anchor distT="0" distB="0" distL="0" distR="0" simplePos="0" relativeHeight="251658250" behindDoc="0" locked="0" layoutInCell="1" allowOverlap="1" wp14:anchorId="139D4622" wp14:editId="6105AB55">
              <wp:simplePos x="635" y="635"/>
              <wp:positionH relativeFrom="page">
                <wp:align>center</wp:align>
              </wp:positionH>
              <wp:positionV relativeFrom="page">
                <wp:align>bottom</wp:align>
              </wp:positionV>
              <wp:extent cx="295910" cy="307975"/>
              <wp:effectExtent l="0" t="0" r="8890" b="0"/>
              <wp:wrapNone/>
              <wp:docPr id="1778221977"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78B8771" w14:textId="0ED7B985"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9D4622" id="_x0000_t202" coordsize="21600,21600" o:spt="202" path="m,l,21600r21600,l21600,xe">
              <v:stroke joinstyle="miter"/>
              <v:path gradientshapeok="t" o:connecttype="rect"/>
            </v:shapetype>
            <v:shape id="Text Box 12" o:spid="_x0000_s1035" type="#_x0000_t202" alt="PUBLIC" style="position:absolute;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78B8771" w14:textId="0ED7B985" w:rsidR="005D554E" w:rsidRPr="005D554E" w:rsidRDefault="005D554E" w:rsidP="005D554E">
                    <w:pPr>
                      <w:spacing w:after="0"/>
                      <w:rPr>
                        <w:rFonts w:ascii="Century Gothic" w:eastAsia="Century Gothic" w:hAnsi="Century Gothic" w:cs="Century Gothic"/>
                        <w:noProof/>
                        <w:color w:val="7F7F7F"/>
                        <w:sz w:val="14"/>
                        <w:szCs w:val="14"/>
                      </w:rPr>
                    </w:pPr>
                    <w:r w:rsidRPr="005D554E">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DEFD3" w14:textId="77777777" w:rsidR="008B1898" w:rsidRDefault="008B1898" w:rsidP="00CC6183">
      <w:r>
        <w:separator/>
      </w:r>
    </w:p>
  </w:footnote>
  <w:footnote w:type="continuationSeparator" w:id="0">
    <w:p w14:paraId="50C53D1B" w14:textId="77777777" w:rsidR="008B1898" w:rsidRDefault="008B1898" w:rsidP="00CC6183">
      <w:r>
        <w:continuationSeparator/>
      </w:r>
    </w:p>
  </w:footnote>
  <w:footnote w:type="continuationNotice" w:id="1">
    <w:p w14:paraId="7FB0D684" w14:textId="77777777" w:rsidR="008B1898" w:rsidRDefault="008B18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B20B" w14:textId="77777777" w:rsidR="0063022F" w:rsidRDefault="0082182F">
    <w:pPr>
      <w:pStyle w:val="Header"/>
    </w:pPr>
    <w:r>
      <w:rPr>
        <w:noProof/>
      </w:rPr>
      <mc:AlternateContent>
        <mc:Choice Requires="wps">
          <w:drawing>
            <wp:anchor distT="0" distB="0" distL="114300" distR="114300" simplePos="0" relativeHeight="251658240" behindDoc="1" locked="0" layoutInCell="1" allowOverlap="1" wp14:anchorId="73571F05" wp14:editId="704E056A">
              <wp:simplePos x="0" y="0"/>
              <wp:positionH relativeFrom="column">
                <wp:posOffset>-900430</wp:posOffset>
              </wp:positionH>
              <wp:positionV relativeFrom="paragraph">
                <wp:posOffset>-720090</wp:posOffset>
              </wp:positionV>
              <wp:extent cx="269675" cy="270001"/>
              <wp:effectExtent l="0" t="0" r="0" b="0"/>
              <wp:wrapNone/>
              <wp:docPr id="28" name="Rectangle 1"/>
              <wp:cNvGraphicFramePr/>
              <a:graphic xmlns:a="http://schemas.openxmlformats.org/drawingml/2006/main">
                <a:graphicData uri="http://schemas.microsoft.com/office/word/2010/wordprocessingShape">
                  <wps:wsp>
                    <wps:cNvSpPr/>
                    <wps:spPr>
                      <a:xfrm>
                        <a:off x="0" y="0"/>
                        <a:ext cx="269675" cy="270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2D0CB96" id="Rectangle 1" o:spid="_x0000_s1026" style="position:absolute;margin-left:-70.9pt;margin-top:-56.7pt;width:21.25pt;height:2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0ED2" w14:textId="77777777" w:rsidR="0029388F" w:rsidRDefault="009928B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B371A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72597" o:spid="_x0000_i1025" type="#_x0000_t75" style="width:311.25pt;height:311.25pt;visibility:visible;mso-wrap-style:square">
            <v:imagedata r:id="rId1" o:title=""/>
          </v:shape>
        </w:pict>
      </mc:Choice>
      <mc:Fallback>
        <w:drawing>
          <wp:inline distT="0" distB="0" distL="0" distR="0" wp14:anchorId="0298F114" wp14:editId="0298F115">
            <wp:extent cx="3952875" cy="3952875"/>
            <wp:effectExtent l="0" t="0" r="0" b="0"/>
            <wp:docPr id="41772597" name="Picture 4177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8794AF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46CAE"/>
    <w:multiLevelType w:val="multilevel"/>
    <w:tmpl w:val="F45E78A6"/>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023555D1"/>
    <w:multiLevelType w:val="multilevel"/>
    <w:tmpl w:val="58181618"/>
    <w:lvl w:ilvl="0">
      <w:start w:val="14"/>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AC2735F"/>
    <w:multiLevelType w:val="multilevel"/>
    <w:tmpl w:val="A176DBD2"/>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6155739"/>
    <w:multiLevelType w:val="multilevel"/>
    <w:tmpl w:val="0B4E1D78"/>
    <w:styleLink w:val="LetteredList"/>
    <w:lvl w:ilvl="0">
      <w:start w:val="1"/>
      <w:numFmt w:val="lowerLetter"/>
      <w:pStyle w:val="List"/>
      <w:lvlText w:val="%1."/>
      <w:lvlJc w:val="left"/>
      <w:pPr>
        <w:ind w:left="568"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20B200BD"/>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77CE4"/>
    <w:multiLevelType w:val="multilevel"/>
    <w:tmpl w:val="30C2CC96"/>
    <w:numStyleLink w:val="TableNumbersBullets"/>
  </w:abstractNum>
  <w:abstractNum w:abstractNumId="11"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13" w15:restartNumberingAfterBreak="0">
    <w:nsid w:val="4F791D93"/>
    <w:multiLevelType w:val="multilevel"/>
    <w:tmpl w:val="0730321A"/>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38444B0"/>
    <w:multiLevelType w:val="hybridMultilevel"/>
    <w:tmpl w:val="B24E0A46"/>
    <w:lvl w:ilvl="0" w:tplc="5AF85820">
      <w:start w:val="1"/>
      <w:numFmt w:val="bullet"/>
      <w:lvlText w:val=""/>
      <w:lvlJc w:val="left"/>
      <w:pPr>
        <w:ind w:left="1287" w:hanging="360"/>
      </w:pPr>
      <w:rPr>
        <w:rFonts w:ascii="Symbol" w:hAnsi="Symbol" w:hint="default"/>
      </w:rPr>
    </w:lvl>
    <w:lvl w:ilvl="1" w:tplc="3844D77E" w:tentative="1">
      <w:start w:val="1"/>
      <w:numFmt w:val="bullet"/>
      <w:lvlText w:val="o"/>
      <w:lvlJc w:val="left"/>
      <w:pPr>
        <w:ind w:left="2007" w:hanging="360"/>
      </w:pPr>
      <w:rPr>
        <w:rFonts w:ascii="Courier New" w:hAnsi="Courier New" w:cs="Courier New" w:hint="default"/>
      </w:rPr>
    </w:lvl>
    <w:lvl w:ilvl="2" w:tplc="ACD85B48" w:tentative="1">
      <w:start w:val="1"/>
      <w:numFmt w:val="bullet"/>
      <w:lvlText w:val=""/>
      <w:lvlJc w:val="left"/>
      <w:pPr>
        <w:ind w:left="2727" w:hanging="360"/>
      </w:pPr>
      <w:rPr>
        <w:rFonts w:ascii="Wingdings" w:hAnsi="Wingdings" w:hint="default"/>
      </w:rPr>
    </w:lvl>
    <w:lvl w:ilvl="3" w:tplc="3ADA3B54" w:tentative="1">
      <w:start w:val="1"/>
      <w:numFmt w:val="bullet"/>
      <w:lvlText w:val=""/>
      <w:lvlJc w:val="left"/>
      <w:pPr>
        <w:ind w:left="3447" w:hanging="360"/>
      </w:pPr>
      <w:rPr>
        <w:rFonts w:ascii="Symbol" w:hAnsi="Symbol" w:hint="default"/>
      </w:rPr>
    </w:lvl>
    <w:lvl w:ilvl="4" w:tplc="66DA2606" w:tentative="1">
      <w:start w:val="1"/>
      <w:numFmt w:val="bullet"/>
      <w:lvlText w:val="o"/>
      <w:lvlJc w:val="left"/>
      <w:pPr>
        <w:ind w:left="4167" w:hanging="360"/>
      </w:pPr>
      <w:rPr>
        <w:rFonts w:ascii="Courier New" w:hAnsi="Courier New" w:cs="Courier New" w:hint="default"/>
      </w:rPr>
    </w:lvl>
    <w:lvl w:ilvl="5" w:tplc="3E907FF4" w:tentative="1">
      <w:start w:val="1"/>
      <w:numFmt w:val="bullet"/>
      <w:lvlText w:val=""/>
      <w:lvlJc w:val="left"/>
      <w:pPr>
        <w:ind w:left="4887" w:hanging="360"/>
      </w:pPr>
      <w:rPr>
        <w:rFonts w:ascii="Wingdings" w:hAnsi="Wingdings" w:hint="default"/>
      </w:rPr>
    </w:lvl>
    <w:lvl w:ilvl="6" w:tplc="1A2460FE" w:tentative="1">
      <w:start w:val="1"/>
      <w:numFmt w:val="bullet"/>
      <w:lvlText w:val=""/>
      <w:lvlJc w:val="left"/>
      <w:pPr>
        <w:ind w:left="5607" w:hanging="360"/>
      </w:pPr>
      <w:rPr>
        <w:rFonts w:ascii="Symbol" w:hAnsi="Symbol" w:hint="default"/>
      </w:rPr>
    </w:lvl>
    <w:lvl w:ilvl="7" w:tplc="77CC6734" w:tentative="1">
      <w:start w:val="1"/>
      <w:numFmt w:val="bullet"/>
      <w:lvlText w:val="o"/>
      <w:lvlJc w:val="left"/>
      <w:pPr>
        <w:ind w:left="6327" w:hanging="360"/>
      </w:pPr>
      <w:rPr>
        <w:rFonts w:ascii="Courier New" w:hAnsi="Courier New" w:cs="Courier New" w:hint="default"/>
      </w:rPr>
    </w:lvl>
    <w:lvl w:ilvl="8" w:tplc="9F063B66" w:tentative="1">
      <w:start w:val="1"/>
      <w:numFmt w:val="bullet"/>
      <w:lvlText w:val=""/>
      <w:lvlJc w:val="left"/>
      <w:pPr>
        <w:ind w:left="7047" w:hanging="360"/>
      </w:pPr>
      <w:rPr>
        <w:rFonts w:ascii="Wingdings" w:hAnsi="Wingdings" w:hint="default"/>
      </w:rPr>
    </w:lvl>
  </w:abstractNum>
  <w:abstractNum w:abstractNumId="15" w15:restartNumberingAfterBreak="0">
    <w:nsid w:val="54BD21DD"/>
    <w:multiLevelType w:val="multilevel"/>
    <w:tmpl w:val="4516BD58"/>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58686650"/>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7"/>
  </w:num>
  <w:num w:numId="2" w16cid:durableId="445738277">
    <w:abstractNumId w:val="7"/>
  </w:num>
  <w:num w:numId="3" w16cid:durableId="1793594145">
    <w:abstractNumId w:val="6"/>
  </w:num>
  <w:num w:numId="4" w16cid:durableId="1354846621">
    <w:abstractNumId w:val="8"/>
    <w:lvlOverride w:ilvl="0">
      <w:lvl w:ilvl="0">
        <w:start w:val="1"/>
        <w:numFmt w:val="lowerLetter"/>
        <w:pStyle w:val="List"/>
        <w:lvlText w:val="%1."/>
        <w:lvlJc w:val="left"/>
        <w:pPr>
          <w:ind w:left="568"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lowerRoman"/>
        <w:lvlText w:val="%3)"/>
        <w:lvlJc w:val="left"/>
        <w:pPr>
          <w:ind w:left="1364" w:hanging="360"/>
        </w:pPr>
        <w:rPr>
          <w:rFonts w:hint="default"/>
        </w:rPr>
      </w:lvl>
    </w:lvlOverride>
    <w:lvlOverride w:ilvl="3">
      <w:lvl w:ilvl="3">
        <w:start w:val="1"/>
        <w:numFmt w:val="decimal"/>
        <w:lvlText w:val="(%4)"/>
        <w:lvlJc w:val="left"/>
        <w:pPr>
          <w:ind w:left="1724" w:hanging="360"/>
        </w:pPr>
        <w:rPr>
          <w:rFonts w:hint="default"/>
        </w:rPr>
      </w:lvl>
    </w:lvlOverride>
    <w:lvlOverride w:ilvl="4">
      <w:lvl w:ilvl="4">
        <w:start w:val="1"/>
        <w:numFmt w:val="lowerLetter"/>
        <w:lvlText w:val="(%5)"/>
        <w:lvlJc w:val="left"/>
        <w:pPr>
          <w:ind w:left="2084" w:hanging="360"/>
        </w:pPr>
        <w:rPr>
          <w:rFonts w:hint="default"/>
        </w:rPr>
      </w:lvl>
    </w:lvlOverride>
    <w:lvlOverride w:ilvl="5">
      <w:lvl w:ilvl="5">
        <w:start w:val="1"/>
        <w:numFmt w:val="lowerRoman"/>
        <w:lvlText w:val="(%6)"/>
        <w:lvlJc w:val="left"/>
        <w:pPr>
          <w:ind w:left="2444" w:hanging="360"/>
        </w:pPr>
        <w:rPr>
          <w:rFonts w:hint="default"/>
        </w:rPr>
      </w:lvl>
    </w:lvlOverride>
    <w:lvlOverride w:ilvl="6">
      <w:lvl w:ilvl="6">
        <w:start w:val="1"/>
        <w:numFmt w:val="decimal"/>
        <w:lvlText w:val="%7."/>
        <w:lvlJc w:val="left"/>
        <w:pPr>
          <w:ind w:left="2804" w:hanging="360"/>
        </w:pPr>
        <w:rPr>
          <w:rFonts w:hint="default"/>
        </w:rPr>
      </w:lvl>
    </w:lvlOverride>
    <w:lvlOverride w:ilvl="7">
      <w:lvl w:ilvl="7">
        <w:start w:val="1"/>
        <w:numFmt w:val="lowerLetter"/>
        <w:lvlText w:val="%8."/>
        <w:lvlJc w:val="left"/>
        <w:pPr>
          <w:ind w:left="3164" w:hanging="360"/>
        </w:pPr>
        <w:rPr>
          <w:rFonts w:hint="default"/>
        </w:rPr>
      </w:lvl>
    </w:lvlOverride>
    <w:lvlOverride w:ilvl="8">
      <w:lvl w:ilvl="8">
        <w:start w:val="1"/>
        <w:numFmt w:val="lowerRoman"/>
        <w:lvlText w:val="%9."/>
        <w:lvlJc w:val="left"/>
        <w:pPr>
          <w:ind w:left="3524" w:hanging="360"/>
        </w:pPr>
        <w:rPr>
          <w:rFonts w:hint="default"/>
        </w:rPr>
      </w:lvl>
    </w:lvlOverride>
  </w:num>
  <w:num w:numId="5" w16cid:durableId="1348822989">
    <w:abstractNumId w:val="11"/>
  </w:num>
  <w:num w:numId="6" w16cid:durableId="1818767665">
    <w:abstractNumId w:val="15"/>
  </w:num>
  <w:num w:numId="7" w16cid:durableId="1564754712">
    <w:abstractNumId w:val="10"/>
  </w:num>
  <w:num w:numId="8" w16cid:durableId="2132821855">
    <w:abstractNumId w:val="18"/>
  </w:num>
  <w:num w:numId="9" w16cid:durableId="59980708">
    <w:abstractNumId w:val="13"/>
  </w:num>
  <w:num w:numId="10" w16cid:durableId="1414398764">
    <w:abstractNumId w:val="15"/>
  </w:num>
  <w:num w:numId="11" w16cid:durableId="816259461">
    <w:abstractNumId w:val="12"/>
  </w:num>
  <w:num w:numId="12" w16cid:durableId="1098331980">
    <w:abstractNumId w:val="4"/>
  </w:num>
  <w:num w:numId="13" w16cid:durableId="507794981">
    <w:abstractNumId w:val="1"/>
  </w:num>
  <w:num w:numId="14" w16cid:durableId="364211503">
    <w:abstractNumId w:val="3"/>
  </w:num>
  <w:num w:numId="15" w16cid:durableId="7828801">
    <w:abstractNumId w:val="9"/>
  </w:num>
  <w:num w:numId="16" w16cid:durableId="1105924734">
    <w:abstractNumId w:val="16"/>
  </w:num>
  <w:num w:numId="17" w16cid:durableId="434444498">
    <w:abstractNumId w:val="14"/>
  </w:num>
  <w:num w:numId="18" w16cid:durableId="2002660119">
    <w:abstractNumId w:val="1"/>
  </w:num>
  <w:num w:numId="19" w16cid:durableId="20803278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78894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47285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4286225">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decimal"/>
        <w:pStyle w:val="List2"/>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1863090132">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lowerRoman"/>
        <w:pStyle w:val="List2"/>
        <w:lvlText w:val="%2."/>
        <w:lvlJc w:val="left"/>
        <w:pPr>
          <w:ind w:left="568" w:hanging="284"/>
        </w:pPr>
        <w:rPr>
          <w:rFonts w:hint="default"/>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24" w16cid:durableId="1336416446">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lowerRoman"/>
        <w:pStyle w:val="List2"/>
        <w:lvlText w:val="%2."/>
        <w:lvlJc w:val="left"/>
        <w:pPr>
          <w:ind w:left="568" w:hanging="284"/>
        </w:pPr>
        <w:rPr>
          <w:rFonts w:hint="default"/>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25" w16cid:durableId="21108062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7329317">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lowerRoman"/>
        <w:pStyle w:val="List2"/>
        <w:lvlText w:val="%2."/>
        <w:lvlJc w:val="left"/>
        <w:pPr>
          <w:ind w:left="568" w:hanging="284"/>
        </w:pPr>
        <w:rPr>
          <w:rFonts w:hint="default"/>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27" w16cid:durableId="2050375720">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lowerRoman"/>
        <w:pStyle w:val="List2"/>
        <w:lvlText w:val="%2."/>
        <w:lvlJc w:val="left"/>
        <w:pPr>
          <w:ind w:left="568" w:hanging="284"/>
        </w:pPr>
        <w:rPr>
          <w:rFonts w:hint="default"/>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28" w16cid:durableId="2083215118">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lowerRoman"/>
        <w:pStyle w:val="List2"/>
        <w:lvlText w:val="%2."/>
        <w:lvlJc w:val="left"/>
        <w:pPr>
          <w:ind w:left="568" w:hanging="284"/>
        </w:pPr>
        <w:rPr>
          <w:rFonts w:hint="default"/>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29" w16cid:durableId="1687629354">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lowerRoman"/>
        <w:pStyle w:val="List2"/>
        <w:lvlText w:val="%2."/>
        <w:lvlJc w:val="left"/>
        <w:pPr>
          <w:ind w:left="568" w:hanging="284"/>
        </w:pPr>
        <w:rPr>
          <w:rFonts w:hint="default"/>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30" w16cid:durableId="822161768">
    <w:abstractNumId w:val="8"/>
  </w:num>
  <w:num w:numId="31" w16cid:durableId="1574504553">
    <w:abstractNumId w:val="8"/>
    <w:lvlOverride w:ilvl="0">
      <w:startOverride w:val="1"/>
      <w:lvl w:ilvl="0">
        <w:start w:val="1"/>
        <w:numFmt w:val="lowerLetter"/>
        <w:pStyle w:val="List"/>
        <w:lvlText w:val="%1."/>
        <w:lvlJc w:val="left"/>
        <w:pPr>
          <w:ind w:left="568" w:hanging="284"/>
        </w:pPr>
        <w:rPr>
          <w:rFonts w:hint="default"/>
        </w:rPr>
      </w:lvl>
    </w:lvlOverride>
    <w:lvlOverride w:ilvl="1">
      <w:startOverride w:val="1"/>
      <w:lvl w:ilvl="1">
        <w:start w:val="1"/>
        <w:numFmt w:val="lowerRoman"/>
        <w:pStyle w:val="List2"/>
        <w:lvlText w:val="%2."/>
        <w:lvlJc w:val="left"/>
        <w:pPr>
          <w:ind w:left="568" w:hanging="284"/>
        </w:pPr>
        <w:rPr>
          <w:rFonts w:hint="default"/>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32" w16cid:durableId="1529370259">
    <w:abstractNumId w:val="2"/>
  </w:num>
  <w:num w:numId="33" w16cid:durableId="130293067">
    <w:abstractNumId w:val="5"/>
  </w:num>
  <w:num w:numId="34" w16cid:durableId="258369606">
    <w:abstractNumId w:val="2"/>
    <w:lvlOverride w:ilvl="0">
      <w:startOverride w:val="1"/>
    </w:lvlOverride>
  </w:num>
  <w:num w:numId="35" w16cid:durableId="1619679600">
    <w:abstractNumId w:val="2"/>
    <w:lvlOverride w:ilvl="0">
      <w:startOverride w:val="1"/>
    </w:lvlOverride>
  </w:num>
  <w:num w:numId="36" w16cid:durableId="424569875">
    <w:abstractNumId w:val="2"/>
    <w:lvlOverride w:ilvl="0">
      <w:startOverride w:val="1"/>
    </w:lvlOverride>
  </w:num>
  <w:num w:numId="37" w16cid:durableId="53508370">
    <w:abstractNumId w:val="5"/>
    <w:lvlOverride w:ilvl="0">
      <w:startOverride w:val="1"/>
    </w:lvlOverride>
  </w:num>
  <w:num w:numId="38" w16cid:durableId="1635912871">
    <w:abstractNumId w:val="2"/>
    <w:lvlOverride w:ilvl="0">
      <w:startOverride w:val="1"/>
    </w:lvlOverride>
  </w:num>
  <w:num w:numId="39" w16cid:durableId="1350526867">
    <w:abstractNumId w:val="0"/>
  </w:num>
  <w:num w:numId="40" w16cid:durableId="805389091">
    <w:abstractNumId w:val="3"/>
  </w:num>
  <w:num w:numId="41" w16cid:durableId="1581479061">
    <w:abstractNumId w:val="3"/>
  </w:num>
  <w:num w:numId="42" w16cid:durableId="102459285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Sa0d4jKCHZhWE6niGyRXQ1KRbmFKxwGT4YtGdtLgwAQvY3bt1Od9iShHZm3rvVusFgNvS2Qj3SWrVHeDMRitcg==" w:salt="9scOetFzgEc9r/lOe8IZIg=="/>
  <w:defaultTabStop w:val="720"/>
  <w:evenAndOddHeaders/>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5D5"/>
    <w:rsid w:val="000006EA"/>
    <w:rsid w:val="00000AF6"/>
    <w:rsid w:val="000014A8"/>
    <w:rsid w:val="00002046"/>
    <w:rsid w:val="0000233F"/>
    <w:rsid w:val="00003179"/>
    <w:rsid w:val="00003499"/>
    <w:rsid w:val="0000357C"/>
    <w:rsid w:val="00003C0E"/>
    <w:rsid w:val="00003F78"/>
    <w:rsid w:val="00004033"/>
    <w:rsid w:val="000041F8"/>
    <w:rsid w:val="000043ED"/>
    <w:rsid w:val="0000450E"/>
    <w:rsid w:val="0000465C"/>
    <w:rsid w:val="0000484C"/>
    <w:rsid w:val="00005052"/>
    <w:rsid w:val="00005434"/>
    <w:rsid w:val="00005BB8"/>
    <w:rsid w:val="00005DF9"/>
    <w:rsid w:val="00006122"/>
    <w:rsid w:val="00006595"/>
    <w:rsid w:val="00007AF0"/>
    <w:rsid w:val="00007E2C"/>
    <w:rsid w:val="00010944"/>
    <w:rsid w:val="00011321"/>
    <w:rsid w:val="000120D7"/>
    <w:rsid w:val="000126BC"/>
    <w:rsid w:val="00012A30"/>
    <w:rsid w:val="00012BD0"/>
    <w:rsid w:val="00012D1B"/>
    <w:rsid w:val="00012F86"/>
    <w:rsid w:val="00012FA8"/>
    <w:rsid w:val="00013600"/>
    <w:rsid w:val="000141DE"/>
    <w:rsid w:val="0001503F"/>
    <w:rsid w:val="00015F25"/>
    <w:rsid w:val="00016949"/>
    <w:rsid w:val="000175DB"/>
    <w:rsid w:val="000177B3"/>
    <w:rsid w:val="00017D47"/>
    <w:rsid w:val="0002083E"/>
    <w:rsid w:val="00020C22"/>
    <w:rsid w:val="00021940"/>
    <w:rsid w:val="000224E9"/>
    <w:rsid w:val="00023B61"/>
    <w:rsid w:val="00023BDB"/>
    <w:rsid w:val="00024402"/>
    <w:rsid w:val="00024C79"/>
    <w:rsid w:val="00024E71"/>
    <w:rsid w:val="00024FE8"/>
    <w:rsid w:val="00025214"/>
    <w:rsid w:val="00025A49"/>
    <w:rsid w:val="00025ABC"/>
    <w:rsid w:val="00026A1B"/>
    <w:rsid w:val="00026A26"/>
    <w:rsid w:val="00026B44"/>
    <w:rsid w:val="000270C0"/>
    <w:rsid w:val="00027AFE"/>
    <w:rsid w:val="00027D10"/>
    <w:rsid w:val="000300AF"/>
    <w:rsid w:val="0003022F"/>
    <w:rsid w:val="00030CEF"/>
    <w:rsid w:val="00031290"/>
    <w:rsid w:val="00032BD1"/>
    <w:rsid w:val="00032C89"/>
    <w:rsid w:val="00033034"/>
    <w:rsid w:val="000331C6"/>
    <w:rsid w:val="000332FE"/>
    <w:rsid w:val="00033AF7"/>
    <w:rsid w:val="00033E7C"/>
    <w:rsid w:val="000345D9"/>
    <w:rsid w:val="00034634"/>
    <w:rsid w:val="000346B4"/>
    <w:rsid w:val="00034AFE"/>
    <w:rsid w:val="00034E77"/>
    <w:rsid w:val="000350EA"/>
    <w:rsid w:val="00035D4E"/>
    <w:rsid w:val="000365C5"/>
    <w:rsid w:val="00036DFA"/>
    <w:rsid w:val="000371F7"/>
    <w:rsid w:val="00037B22"/>
    <w:rsid w:val="00037B62"/>
    <w:rsid w:val="00037BEA"/>
    <w:rsid w:val="0004059E"/>
    <w:rsid w:val="000405CF"/>
    <w:rsid w:val="000405F6"/>
    <w:rsid w:val="00040C22"/>
    <w:rsid w:val="0004210D"/>
    <w:rsid w:val="00042594"/>
    <w:rsid w:val="0004260E"/>
    <w:rsid w:val="00042A72"/>
    <w:rsid w:val="00042AD9"/>
    <w:rsid w:val="00042E15"/>
    <w:rsid w:val="00043249"/>
    <w:rsid w:val="00043644"/>
    <w:rsid w:val="00043A18"/>
    <w:rsid w:val="00043C4B"/>
    <w:rsid w:val="00043DDA"/>
    <w:rsid w:val="000449F9"/>
    <w:rsid w:val="00044EF2"/>
    <w:rsid w:val="000455AA"/>
    <w:rsid w:val="00045774"/>
    <w:rsid w:val="0004593A"/>
    <w:rsid w:val="00046084"/>
    <w:rsid w:val="0004624B"/>
    <w:rsid w:val="00047759"/>
    <w:rsid w:val="00047918"/>
    <w:rsid w:val="00047962"/>
    <w:rsid w:val="00047B4C"/>
    <w:rsid w:val="00047B5C"/>
    <w:rsid w:val="00047F27"/>
    <w:rsid w:val="00050B6A"/>
    <w:rsid w:val="000519BF"/>
    <w:rsid w:val="00052A9E"/>
    <w:rsid w:val="00053191"/>
    <w:rsid w:val="00053812"/>
    <w:rsid w:val="000538C1"/>
    <w:rsid w:val="00053EAF"/>
    <w:rsid w:val="000541F2"/>
    <w:rsid w:val="000542D0"/>
    <w:rsid w:val="00054CC0"/>
    <w:rsid w:val="00054E3E"/>
    <w:rsid w:val="00054F30"/>
    <w:rsid w:val="00054F6F"/>
    <w:rsid w:val="0005583C"/>
    <w:rsid w:val="00055B1F"/>
    <w:rsid w:val="00055D1B"/>
    <w:rsid w:val="00056AF5"/>
    <w:rsid w:val="00056E55"/>
    <w:rsid w:val="0005709E"/>
    <w:rsid w:val="00057521"/>
    <w:rsid w:val="00057C7B"/>
    <w:rsid w:val="00057D6C"/>
    <w:rsid w:val="00057EEB"/>
    <w:rsid w:val="00060483"/>
    <w:rsid w:val="000612AF"/>
    <w:rsid w:val="0006132B"/>
    <w:rsid w:val="000613EF"/>
    <w:rsid w:val="000614C8"/>
    <w:rsid w:val="000635AB"/>
    <w:rsid w:val="00063731"/>
    <w:rsid w:val="00063B8A"/>
    <w:rsid w:val="00064948"/>
    <w:rsid w:val="00064AB6"/>
    <w:rsid w:val="00064DA6"/>
    <w:rsid w:val="000653A9"/>
    <w:rsid w:val="00065B91"/>
    <w:rsid w:val="000660DC"/>
    <w:rsid w:val="0006610D"/>
    <w:rsid w:val="00066EFA"/>
    <w:rsid w:val="00067770"/>
    <w:rsid w:val="00067898"/>
    <w:rsid w:val="00067AFA"/>
    <w:rsid w:val="00067C17"/>
    <w:rsid w:val="00067CA3"/>
    <w:rsid w:val="00067FDD"/>
    <w:rsid w:val="00070129"/>
    <w:rsid w:val="0007054A"/>
    <w:rsid w:val="000713C9"/>
    <w:rsid w:val="00071C78"/>
    <w:rsid w:val="00071E84"/>
    <w:rsid w:val="000724AE"/>
    <w:rsid w:val="000727DF"/>
    <w:rsid w:val="00072AD9"/>
    <w:rsid w:val="0007322F"/>
    <w:rsid w:val="0007385E"/>
    <w:rsid w:val="000742F4"/>
    <w:rsid w:val="00075469"/>
    <w:rsid w:val="0007575F"/>
    <w:rsid w:val="00075B19"/>
    <w:rsid w:val="00076262"/>
    <w:rsid w:val="000767D3"/>
    <w:rsid w:val="000768B3"/>
    <w:rsid w:val="000769EB"/>
    <w:rsid w:val="00076D1D"/>
    <w:rsid w:val="00076DB3"/>
    <w:rsid w:val="00077558"/>
    <w:rsid w:val="00077A0D"/>
    <w:rsid w:val="00077F1D"/>
    <w:rsid w:val="00080113"/>
    <w:rsid w:val="0008037D"/>
    <w:rsid w:val="00080461"/>
    <w:rsid w:val="00080589"/>
    <w:rsid w:val="00080A2F"/>
    <w:rsid w:val="000811CF"/>
    <w:rsid w:val="0008154C"/>
    <w:rsid w:val="000818FF"/>
    <w:rsid w:val="00082418"/>
    <w:rsid w:val="00082B4B"/>
    <w:rsid w:val="000839B4"/>
    <w:rsid w:val="00083FA8"/>
    <w:rsid w:val="000840DF"/>
    <w:rsid w:val="00084150"/>
    <w:rsid w:val="0008434F"/>
    <w:rsid w:val="000846C7"/>
    <w:rsid w:val="00084E7D"/>
    <w:rsid w:val="0008514D"/>
    <w:rsid w:val="00085291"/>
    <w:rsid w:val="00085AE6"/>
    <w:rsid w:val="00085E94"/>
    <w:rsid w:val="0008606A"/>
    <w:rsid w:val="00086C07"/>
    <w:rsid w:val="00087029"/>
    <w:rsid w:val="0008724B"/>
    <w:rsid w:val="0009024A"/>
    <w:rsid w:val="000902C8"/>
    <w:rsid w:val="0009080F"/>
    <w:rsid w:val="00090E0E"/>
    <w:rsid w:val="00090F04"/>
    <w:rsid w:val="00091028"/>
    <w:rsid w:val="000917A8"/>
    <w:rsid w:val="00091A52"/>
    <w:rsid w:val="000924B6"/>
    <w:rsid w:val="00092747"/>
    <w:rsid w:val="00092E39"/>
    <w:rsid w:val="00092F2B"/>
    <w:rsid w:val="00093B36"/>
    <w:rsid w:val="000944C8"/>
    <w:rsid w:val="00094F7A"/>
    <w:rsid w:val="0009621D"/>
    <w:rsid w:val="00096299"/>
    <w:rsid w:val="00096434"/>
    <w:rsid w:val="00096916"/>
    <w:rsid w:val="00096BF0"/>
    <w:rsid w:val="00097366"/>
    <w:rsid w:val="000979FA"/>
    <w:rsid w:val="000A0791"/>
    <w:rsid w:val="000A09B5"/>
    <w:rsid w:val="000A1A5B"/>
    <w:rsid w:val="000A1A6A"/>
    <w:rsid w:val="000A1FDB"/>
    <w:rsid w:val="000A23B3"/>
    <w:rsid w:val="000A2B12"/>
    <w:rsid w:val="000A2B3B"/>
    <w:rsid w:val="000A2C9E"/>
    <w:rsid w:val="000A3BCD"/>
    <w:rsid w:val="000A3CA9"/>
    <w:rsid w:val="000A3D67"/>
    <w:rsid w:val="000A435E"/>
    <w:rsid w:val="000A51CC"/>
    <w:rsid w:val="000A53E9"/>
    <w:rsid w:val="000A5629"/>
    <w:rsid w:val="000A6641"/>
    <w:rsid w:val="000A6BFB"/>
    <w:rsid w:val="000A6F93"/>
    <w:rsid w:val="000A7144"/>
    <w:rsid w:val="000A723D"/>
    <w:rsid w:val="000A7550"/>
    <w:rsid w:val="000A7E43"/>
    <w:rsid w:val="000B10C0"/>
    <w:rsid w:val="000B1CF7"/>
    <w:rsid w:val="000B25C1"/>
    <w:rsid w:val="000B2775"/>
    <w:rsid w:val="000B2B98"/>
    <w:rsid w:val="000B3EF6"/>
    <w:rsid w:val="000B497F"/>
    <w:rsid w:val="000B4F7B"/>
    <w:rsid w:val="000B5088"/>
    <w:rsid w:val="000B5773"/>
    <w:rsid w:val="000B5C6E"/>
    <w:rsid w:val="000B61A0"/>
    <w:rsid w:val="000B6230"/>
    <w:rsid w:val="000B69DA"/>
    <w:rsid w:val="000B6AE7"/>
    <w:rsid w:val="000B703C"/>
    <w:rsid w:val="000B76A1"/>
    <w:rsid w:val="000C0325"/>
    <w:rsid w:val="000C077F"/>
    <w:rsid w:val="000C0821"/>
    <w:rsid w:val="000C0C68"/>
    <w:rsid w:val="000C1E72"/>
    <w:rsid w:val="000C2C22"/>
    <w:rsid w:val="000C2F7F"/>
    <w:rsid w:val="000C3CA8"/>
    <w:rsid w:val="000C46C0"/>
    <w:rsid w:val="000C5059"/>
    <w:rsid w:val="000C560D"/>
    <w:rsid w:val="000C5BC1"/>
    <w:rsid w:val="000C65F0"/>
    <w:rsid w:val="000C66A3"/>
    <w:rsid w:val="000C67BA"/>
    <w:rsid w:val="000C6D31"/>
    <w:rsid w:val="000C7184"/>
    <w:rsid w:val="000D0C36"/>
    <w:rsid w:val="000D0FD0"/>
    <w:rsid w:val="000D11A2"/>
    <w:rsid w:val="000D17FB"/>
    <w:rsid w:val="000D2380"/>
    <w:rsid w:val="000D2947"/>
    <w:rsid w:val="000D2C68"/>
    <w:rsid w:val="000D2FF1"/>
    <w:rsid w:val="000D2FF5"/>
    <w:rsid w:val="000D3735"/>
    <w:rsid w:val="000D37D5"/>
    <w:rsid w:val="000D3881"/>
    <w:rsid w:val="000D422D"/>
    <w:rsid w:val="000D4533"/>
    <w:rsid w:val="000D4CB2"/>
    <w:rsid w:val="000D4F9D"/>
    <w:rsid w:val="000D53DF"/>
    <w:rsid w:val="000D555D"/>
    <w:rsid w:val="000D66B8"/>
    <w:rsid w:val="000D69CB"/>
    <w:rsid w:val="000D6A31"/>
    <w:rsid w:val="000D6AA3"/>
    <w:rsid w:val="000D73AB"/>
    <w:rsid w:val="000D78AB"/>
    <w:rsid w:val="000E0A58"/>
    <w:rsid w:val="000E1398"/>
    <w:rsid w:val="000E21B9"/>
    <w:rsid w:val="000E246F"/>
    <w:rsid w:val="000E2645"/>
    <w:rsid w:val="000E2D78"/>
    <w:rsid w:val="000E3953"/>
    <w:rsid w:val="000E3C22"/>
    <w:rsid w:val="000E449F"/>
    <w:rsid w:val="000E4B28"/>
    <w:rsid w:val="000E4B37"/>
    <w:rsid w:val="000E5388"/>
    <w:rsid w:val="000E6C62"/>
    <w:rsid w:val="000E6C99"/>
    <w:rsid w:val="000E7A8C"/>
    <w:rsid w:val="000E7D0F"/>
    <w:rsid w:val="000E7DC6"/>
    <w:rsid w:val="000F06E6"/>
    <w:rsid w:val="000F0927"/>
    <w:rsid w:val="000F0E7F"/>
    <w:rsid w:val="000F124A"/>
    <w:rsid w:val="000F1686"/>
    <w:rsid w:val="000F1BBB"/>
    <w:rsid w:val="000F1D07"/>
    <w:rsid w:val="000F1D60"/>
    <w:rsid w:val="000F25E7"/>
    <w:rsid w:val="000F2688"/>
    <w:rsid w:val="000F27E5"/>
    <w:rsid w:val="000F2E3B"/>
    <w:rsid w:val="000F33BA"/>
    <w:rsid w:val="000F35B3"/>
    <w:rsid w:val="000F36EC"/>
    <w:rsid w:val="000F3F0B"/>
    <w:rsid w:val="000F4337"/>
    <w:rsid w:val="000F458F"/>
    <w:rsid w:val="000F548C"/>
    <w:rsid w:val="000F5909"/>
    <w:rsid w:val="000F5BDD"/>
    <w:rsid w:val="000F6A34"/>
    <w:rsid w:val="000F71CE"/>
    <w:rsid w:val="000F749A"/>
    <w:rsid w:val="000F7D32"/>
    <w:rsid w:val="001001CA"/>
    <w:rsid w:val="00100B16"/>
    <w:rsid w:val="00100E85"/>
    <w:rsid w:val="00101651"/>
    <w:rsid w:val="00101EAE"/>
    <w:rsid w:val="0010279F"/>
    <w:rsid w:val="00103B94"/>
    <w:rsid w:val="001042AF"/>
    <w:rsid w:val="00105476"/>
    <w:rsid w:val="00105C30"/>
    <w:rsid w:val="001060CC"/>
    <w:rsid w:val="00106249"/>
    <w:rsid w:val="00106E48"/>
    <w:rsid w:val="00106F8C"/>
    <w:rsid w:val="00107215"/>
    <w:rsid w:val="001072AA"/>
    <w:rsid w:val="00107C02"/>
    <w:rsid w:val="00107EC3"/>
    <w:rsid w:val="00110081"/>
    <w:rsid w:val="00110087"/>
    <w:rsid w:val="001103C9"/>
    <w:rsid w:val="00110618"/>
    <w:rsid w:val="00110CBF"/>
    <w:rsid w:val="00110ECA"/>
    <w:rsid w:val="00111264"/>
    <w:rsid w:val="00111455"/>
    <w:rsid w:val="00111DCB"/>
    <w:rsid w:val="0011259A"/>
    <w:rsid w:val="00112603"/>
    <w:rsid w:val="00112BF6"/>
    <w:rsid w:val="00112E8F"/>
    <w:rsid w:val="00112EF0"/>
    <w:rsid w:val="00112F9C"/>
    <w:rsid w:val="001130DB"/>
    <w:rsid w:val="00113F1A"/>
    <w:rsid w:val="00114E27"/>
    <w:rsid w:val="00114F60"/>
    <w:rsid w:val="001154EE"/>
    <w:rsid w:val="00115775"/>
    <w:rsid w:val="0011577E"/>
    <w:rsid w:val="00115795"/>
    <w:rsid w:val="00116056"/>
    <w:rsid w:val="0011626C"/>
    <w:rsid w:val="00116731"/>
    <w:rsid w:val="00117261"/>
    <w:rsid w:val="00117290"/>
    <w:rsid w:val="0011764B"/>
    <w:rsid w:val="001176C4"/>
    <w:rsid w:val="00117917"/>
    <w:rsid w:val="00120822"/>
    <w:rsid w:val="00120924"/>
    <w:rsid w:val="00120FEB"/>
    <w:rsid w:val="0012172E"/>
    <w:rsid w:val="001219B8"/>
    <w:rsid w:val="00122242"/>
    <w:rsid w:val="00122707"/>
    <w:rsid w:val="00122DCE"/>
    <w:rsid w:val="00122F80"/>
    <w:rsid w:val="00122F9E"/>
    <w:rsid w:val="0012337F"/>
    <w:rsid w:val="00123800"/>
    <w:rsid w:val="00123EE7"/>
    <w:rsid w:val="0012431B"/>
    <w:rsid w:val="001246F4"/>
    <w:rsid w:val="00124D66"/>
    <w:rsid w:val="00125067"/>
    <w:rsid w:val="00125800"/>
    <w:rsid w:val="00125ABC"/>
    <w:rsid w:val="00125DEA"/>
    <w:rsid w:val="00125E0D"/>
    <w:rsid w:val="0012608E"/>
    <w:rsid w:val="001268BC"/>
    <w:rsid w:val="00126BA6"/>
    <w:rsid w:val="00126D19"/>
    <w:rsid w:val="00127106"/>
    <w:rsid w:val="0012710A"/>
    <w:rsid w:val="00127AD0"/>
    <w:rsid w:val="00130A3D"/>
    <w:rsid w:val="00130B39"/>
    <w:rsid w:val="001310F9"/>
    <w:rsid w:val="00131A4A"/>
    <w:rsid w:val="00132002"/>
    <w:rsid w:val="001321F0"/>
    <w:rsid w:val="00132306"/>
    <w:rsid w:val="00132861"/>
    <w:rsid w:val="0013351A"/>
    <w:rsid w:val="0013382A"/>
    <w:rsid w:val="00133B8B"/>
    <w:rsid w:val="0013534E"/>
    <w:rsid w:val="00135526"/>
    <w:rsid w:val="00135543"/>
    <w:rsid w:val="00135D52"/>
    <w:rsid w:val="00136794"/>
    <w:rsid w:val="001368A2"/>
    <w:rsid w:val="00136923"/>
    <w:rsid w:val="001369B6"/>
    <w:rsid w:val="00136A6C"/>
    <w:rsid w:val="00136C68"/>
    <w:rsid w:val="00137156"/>
    <w:rsid w:val="00137593"/>
    <w:rsid w:val="0013790D"/>
    <w:rsid w:val="00140334"/>
    <w:rsid w:val="001405EB"/>
    <w:rsid w:val="001408AA"/>
    <w:rsid w:val="00140A35"/>
    <w:rsid w:val="00140BBA"/>
    <w:rsid w:val="001412B4"/>
    <w:rsid w:val="00141367"/>
    <w:rsid w:val="00141855"/>
    <w:rsid w:val="00141902"/>
    <w:rsid w:val="00141979"/>
    <w:rsid w:val="00142259"/>
    <w:rsid w:val="00142E40"/>
    <w:rsid w:val="00142E56"/>
    <w:rsid w:val="00143205"/>
    <w:rsid w:val="0014399D"/>
    <w:rsid w:val="00144AEE"/>
    <w:rsid w:val="00145B62"/>
    <w:rsid w:val="00145D62"/>
    <w:rsid w:val="00145DFD"/>
    <w:rsid w:val="00145E16"/>
    <w:rsid w:val="00145E53"/>
    <w:rsid w:val="00146116"/>
    <w:rsid w:val="00146390"/>
    <w:rsid w:val="0014644D"/>
    <w:rsid w:val="00146955"/>
    <w:rsid w:val="00146E0F"/>
    <w:rsid w:val="00147775"/>
    <w:rsid w:val="00147AB2"/>
    <w:rsid w:val="00150273"/>
    <w:rsid w:val="0015046A"/>
    <w:rsid w:val="00150DD6"/>
    <w:rsid w:val="00151474"/>
    <w:rsid w:val="00152499"/>
    <w:rsid w:val="001527B3"/>
    <w:rsid w:val="001529E4"/>
    <w:rsid w:val="00153A98"/>
    <w:rsid w:val="00154027"/>
    <w:rsid w:val="0015405C"/>
    <w:rsid w:val="001540F4"/>
    <w:rsid w:val="0015461E"/>
    <w:rsid w:val="00154F02"/>
    <w:rsid w:val="001550F0"/>
    <w:rsid w:val="00155152"/>
    <w:rsid w:val="0015544A"/>
    <w:rsid w:val="00155570"/>
    <w:rsid w:val="001555BF"/>
    <w:rsid w:val="00155CF8"/>
    <w:rsid w:val="001563B7"/>
    <w:rsid w:val="0015649C"/>
    <w:rsid w:val="00156C61"/>
    <w:rsid w:val="00156CF5"/>
    <w:rsid w:val="0015748B"/>
    <w:rsid w:val="001602C5"/>
    <w:rsid w:val="001605BB"/>
    <w:rsid w:val="00161651"/>
    <w:rsid w:val="00161661"/>
    <w:rsid w:val="0016178D"/>
    <w:rsid w:val="001624D1"/>
    <w:rsid w:val="00162EA3"/>
    <w:rsid w:val="0016398D"/>
    <w:rsid w:val="00163D37"/>
    <w:rsid w:val="00163F95"/>
    <w:rsid w:val="00164073"/>
    <w:rsid w:val="0016506F"/>
    <w:rsid w:val="00165D34"/>
    <w:rsid w:val="00166889"/>
    <w:rsid w:val="00166D82"/>
    <w:rsid w:val="00166E5E"/>
    <w:rsid w:val="001673B1"/>
    <w:rsid w:val="00167811"/>
    <w:rsid w:val="001701ED"/>
    <w:rsid w:val="00170327"/>
    <w:rsid w:val="001704DB"/>
    <w:rsid w:val="00170D33"/>
    <w:rsid w:val="001710FC"/>
    <w:rsid w:val="001713D7"/>
    <w:rsid w:val="00171868"/>
    <w:rsid w:val="00171CE6"/>
    <w:rsid w:val="00172724"/>
    <w:rsid w:val="00172A0B"/>
    <w:rsid w:val="00172A3C"/>
    <w:rsid w:val="001731D2"/>
    <w:rsid w:val="00173209"/>
    <w:rsid w:val="001732BC"/>
    <w:rsid w:val="001744C2"/>
    <w:rsid w:val="00174576"/>
    <w:rsid w:val="00174F51"/>
    <w:rsid w:val="001751CB"/>
    <w:rsid w:val="0017533E"/>
    <w:rsid w:val="00175A1F"/>
    <w:rsid w:val="00175F67"/>
    <w:rsid w:val="00176649"/>
    <w:rsid w:val="00176FC2"/>
    <w:rsid w:val="00177387"/>
    <w:rsid w:val="00177549"/>
    <w:rsid w:val="0017766E"/>
    <w:rsid w:val="00177B8C"/>
    <w:rsid w:val="00177C90"/>
    <w:rsid w:val="00177D52"/>
    <w:rsid w:val="00177E8F"/>
    <w:rsid w:val="001802EB"/>
    <w:rsid w:val="00180E3C"/>
    <w:rsid w:val="001812F5"/>
    <w:rsid w:val="0018189B"/>
    <w:rsid w:val="00181E98"/>
    <w:rsid w:val="00182102"/>
    <w:rsid w:val="001831FB"/>
    <w:rsid w:val="001832EF"/>
    <w:rsid w:val="0018346A"/>
    <w:rsid w:val="001839DD"/>
    <w:rsid w:val="001842FD"/>
    <w:rsid w:val="00184A2D"/>
    <w:rsid w:val="00184BF0"/>
    <w:rsid w:val="0018501A"/>
    <w:rsid w:val="00185374"/>
    <w:rsid w:val="001856E2"/>
    <w:rsid w:val="00186378"/>
    <w:rsid w:val="001867E4"/>
    <w:rsid w:val="00186FCC"/>
    <w:rsid w:val="00190542"/>
    <w:rsid w:val="0019182A"/>
    <w:rsid w:val="0019184E"/>
    <w:rsid w:val="00191ABA"/>
    <w:rsid w:val="001926B8"/>
    <w:rsid w:val="0019289D"/>
    <w:rsid w:val="00192AC2"/>
    <w:rsid w:val="00192F84"/>
    <w:rsid w:val="00192FD0"/>
    <w:rsid w:val="0019365F"/>
    <w:rsid w:val="00193919"/>
    <w:rsid w:val="00194493"/>
    <w:rsid w:val="0019575F"/>
    <w:rsid w:val="00195DF1"/>
    <w:rsid w:val="001961B4"/>
    <w:rsid w:val="00196482"/>
    <w:rsid w:val="001964EA"/>
    <w:rsid w:val="0019683E"/>
    <w:rsid w:val="00196904"/>
    <w:rsid w:val="0019703B"/>
    <w:rsid w:val="001970D4"/>
    <w:rsid w:val="00197DA5"/>
    <w:rsid w:val="001A009D"/>
    <w:rsid w:val="001A02F7"/>
    <w:rsid w:val="001A077B"/>
    <w:rsid w:val="001A0911"/>
    <w:rsid w:val="001A0B2C"/>
    <w:rsid w:val="001A0D77"/>
    <w:rsid w:val="001A0F01"/>
    <w:rsid w:val="001A21E1"/>
    <w:rsid w:val="001A2B2B"/>
    <w:rsid w:val="001A35A3"/>
    <w:rsid w:val="001A46D4"/>
    <w:rsid w:val="001A4E18"/>
    <w:rsid w:val="001A5204"/>
    <w:rsid w:val="001A5E20"/>
    <w:rsid w:val="001A6B03"/>
    <w:rsid w:val="001A6F29"/>
    <w:rsid w:val="001A78E9"/>
    <w:rsid w:val="001A7AF0"/>
    <w:rsid w:val="001B05A5"/>
    <w:rsid w:val="001B083A"/>
    <w:rsid w:val="001B09EF"/>
    <w:rsid w:val="001B0CEC"/>
    <w:rsid w:val="001B0F03"/>
    <w:rsid w:val="001B1505"/>
    <w:rsid w:val="001B193D"/>
    <w:rsid w:val="001B2C33"/>
    <w:rsid w:val="001B31BD"/>
    <w:rsid w:val="001B41DB"/>
    <w:rsid w:val="001B41F4"/>
    <w:rsid w:val="001B4984"/>
    <w:rsid w:val="001B511C"/>
    <w:rsid w:val="001B52C0"/>
    <w:rsid w:val="001B59C0"/>
    <w:rsid w:val="001B5E35"/>
    <w:rsid w:val="001B5FD8"/>
    <w:rsid w:val="001B63F7"/>
    <w:rsid w:val="001B6660"/>
    <w:rsid w:val="001B6FE7"/>
    <w:rsid w:val="001B708C"/>
    <w:rsid w:val="001C048C"/>
    <w:rsid w:val="001C06D0"/>
    <w:rsid w:val="001C0892"/>
    <w:rsid w:val="001C0999"/>
    <w:rsid w:val="001C18F8"/>
    <w:rsid w:val="001C1ADF"/>
    <w:rsid w:val="001C1FD5"/>
    <w:rsid w:val="001C28F9"/>
    <w:rsid w:val="001C2CB4"/>
    <w:rsid w:val="001C3749"/>
    <w:rsid w:val="001C3D50"/>
    <w:rsid w:val="001C3F3A"/>
    <w:rsid w:val="001C40E7"/>
    <w:rsid w:val="001C424A"/>
    <w:rsid w:val="001C6051"/>
    <w:rsid w:val="001C69CE"/>
    <w:rsid w:val="001C7835"/>
    <w:rsid w:val="001C79A0"/>
    <w:rsid w:val="001C7C85"/>
    <w:rsid w:val="001D00C4"/>
    <w:rsid w:val="001D0698"/>
    <w:rsid w:val="001D10FB"/>
    <w:rsid w:val="001D1984"/>
    <w:rsid w:val="001D248D"/>
    <w:rsid w:val="001D2536"/>
    <w:rsid w:val="001D30A7"/>
    <w:rsid w:val="001D3122"/>
    <w:rsid w:val="001D3256"/>
    <w:rsid w:val="001D3728"/>
    <w:rsid w:val="001D3876"/>
    <w:rsid w:val="001D3E27"/>
    <w:rsid w:val="001D4194"/>
    <w:rsid w:val="001D4495"/>
    <w:rsid w:val="001D4789"/>
    <w:rsid w:val="001D4988"/>
    <w:rsid w:val="001D579D"/>
    <w:rsid w:val="001D57FE"/>
    <w:rsid w:val="001D5A0B"/>
    <w:rsid w:val="001D5C06"/>
    <w:rsid w:val="001D667B"/>
    <w:rsid w:val="001D67C9"/>
    <w:rsid w:val="001D7C84"/>
    <w:rsid w:val="001D7D35"/>
    <w:rsid w:val="001E0233"/>
    <w:rsid w:val="001E06FC"/>
    <w:rsid w:val="001E0A0F"/>
    <w:rsid w:val="001E10C4"/>
    <w:rsid w:val="001E1319"/>
    <w:rsid w:val="001E1468"/>
    <w:rsid w:val="001E189C"/>
    <w:rsid w:val="001E26A3"/>
    <w:rsid w:val="001E26A9"/>
    <w:rsid w:val="001E27AC"/>
    <w:rsid w:val="001E3442"/>
    <w:rsid w:val="001E3F31"/>
    <w:rsid w:val="001E42A6"/>
    <w:rsid w:val="001E47AC"/>
    <w:rsid w:val="001E53D1"/>
    <w:rsid w:val="001E580A"/>
    <w:rsid w:val="001E6710"/>
    <w:rsid w:val="001E7402"/>
    <w:rsid w:val="001E7902"/>
    <w:rsid w:val="001E7985"/>
    <w:rsid w:val="001E799A"/>
    <w:rsid w:val="001F0465"/>
    <w:rsid w:val="001F0EE6"/>
    <w:rsid w:val="001F13C1"/>
    <w:rsid w:val="001F207D"/>
    <w:rsid w:val="001F20EF"/>
    <w:rsid w:val="001F2AC2"/>
    <w:rsid w:val="001F3378"/>
    <w:rsid w:val="001F36F0"/>
    <w:rsid w:val="001F3C21"/>
    <w:rsid w:val="001F3EEB"/>
    <w:rsid w:val="001F3FD7"/>
    <w:rsid w:val="001F446D"/>
    <w:rsid w:val="001F4661"/>
    <w:rsid w:val="001F46ED"/>
    <w:rsid w:val="001F50F5"/>
    <w:rsid w:val="001F5344"/>
    <w:rsid w:val="001F648F"/>
    <w:rsid w:val="001F6B62"/>
    <w:rsid w:val="001F7686"/>
    <w:rsid w:val="001F799C"/>
    <w:rsid w:val="002008D6"/>
    <w:rsid w:val="0020176A"/>
    <w:rsid w:val="00201C19"/>
    <w:rsid w:val="00201CF9"/>
    <w:rsid w:val="00201D01"/>
    <w:rsid w:val="002020E6"/>
    <w:rsid w:val="00202149"/>
    <w:rsid w:val="002023AD"/>
    <w:rsid w:val="002025DB"/>
    <w:rsid w:val="00202A73"/>
    <w:rsid w:val="00202F98"/>
    <w:rsid w:val="00203CB8"/>
    <w:rsid w:val="00203E26"/>
    <w:rsid w:val="00204310"/>
    <w:rsid w:val="00204697"/>
    <w:rsid w:val="00205292"/>
    <w:rsid w:val="002056D0"/>
    <w:rsid w:val="00205B83"/>
    <w:rsid w:val="00206131"/>
    <w:rsid w:val="002065BD"/>
    <w:rsid w:val="002066A3"/>
    <w:rsid w:val="00207398"/>
    <w:rsid w:val="0020799E"/>
    <w:rsid w:val="002079A9"/>
    <w:rsid w:val="00207D2C"/>
    <w:rsid w:val="002103A4"/>
    <w:rsid w:val="00210D82"/>
    <w:rsid w:val="002119DE"/>
    <w:rsid w:val="00211A4B"/>
    <w:rsid w:val="00211CF4"/>
    <w:rsid w:val="002126AD"/>
    <w:rsid w:val="002129CC"/>
    <w:rsid w:val="00212A3B"/>
    <w:rsid w:val="00212C2B"/>
    <w:rsid w:val="00212F8E"/>
    <w:rsid w:val="002136AB"/>
    <w:rsid w:val="0021481B"/>
    <w:rsid w:val="00214BFE"/>
    <w:rsid w:val="00215375"/>
    <w:rsid w:val="00215584"/>
    <w:rsid w:val="00215855"/>
    <w:rsid w:val="0021601E"/>
    <w:rsid w:val="0021613E"/>
    <w:rsid w:val="002172DF"/>
    <w:rsid w:val="002174C3"/>
    <w:rsid w:val="002178E6"/>
    <w:rsid w:val="00217C1C"/>
    <w:rsid w:val="002205B7"/>
    <w:rsid w:val="002206CA"/>
    <w:rsid w:val="00220D9C"/>
    <w:rsid w:val="00221351"/>
    <w:rsid w:val="002216E2"/>
    <w:rsid w:val="00221AB7"/>
    <w:rsid w:val="00221DA1"/>
    <w:rsid w:val="0022205D"/>
    <w:rsid w:val="002228F1"/>
    <w:rsid w:val="00222B81"/>
    <w:rsid w:val="00223161"/>
    <w:rsid w:val="0022324C"/>
    <w:rsid w:val="002239CB"/>
    <w:rsid w:val="00223CD6"/>
    <w:rsid w:val="00223F38"/>
    <w:rsid w:val="00224036"/>
    <w:rsid w:val="0022430D"/>
    <w:rsid w:val="002245EF"/>
    <w:rsid w:val="002248D0"/>
    <w:rsid w:val="00224AE4"/>
    <w:rsid w:val="00224FEB"/>
    <w:rsid w:val="00225285"/>
    <w:rsid w:val="00225293"/>
    <w:rsid w:val="00225CA5"/>
    <w:rsid w:val="00225D8B"/>
    <w:rsid w:val="00225E18"/>
    <w:rsid w:val="00225EB3"/>
    <w:rsid w:val="00226FF3"/>
    <w:rsid w:val="002304B3"/>
    <w:rsid w:val="00230F9C"/>
    <w:rsid w:val="00231275"/>
    <w:rsid w:val="00231BD0"/>
    <w:rsid w:val="00232A2F"/>
    <w:rsid w:val="00232D58"/>
    <w:rsid w:val="0023302E"/>
    <w:rsid w:val="00233A9D"/>
    <w:rsid w:val="00234AAC"/>
    <w:rsid w:val="00235B1D"/>
    <w:rsid w:val="00235F6C"/>
    <w:rsid w:val="00236477"/>
    <w:rsid w:val="00236581"/>
    <w:rsid w:val="002366AC"/>
    <w:rsid w:val="00236FAD"/>
    <w:rsid w:val="00237940"/>
    <w:rsid w:val="00237ADE"/>
    <w:rsid w:val="00240131"/>
    <w:rsid w:val="002403B6"/>
    <w:rsid w:val="00240E8F"/>
    <w:rsid w:val="00241159"/>
    <w:rsid w:val="00241E64"/>
    <w:rsid w:val="00241EBF"/>
    <w:rsid w:val="0024214E"/>
    <w:rsid w:val="0024216D"/>
    <w:rsid w:val="0024284D"/>
    <w:rsid w:val="0024286D"/>
    <w:rsid w:val="00242BAD"/>
    <w:rsid w:val="0024341F"/>
    <w:rsid w:val="0024368E"/>
    <w:rsid w:val="002437D8"/>
    <w:rsid w:val="00243A7B"/>
    <w:rsid w:val="00243C9B"/>
    <w:rsid w:val="0024400F"/>
    <w:rsid w:val="002440E6"/>
    <w:rsid w:val="00244225"/>
    <w:rsid w:val="00244DD2"/>
    <w:rsid w:val="00244E24"/>
    <w:rsid w:val="00245981"/>
    <w:rsid w:val="00245F1D"/>
    <w:rsid w:val="00246435"/>
    <w:rsid w:val="002466EC"/>
    <w:rsid w:val="002467B8"/>
    <w:rsid w:val="00246BCF"/>
    <w:rsid w:val="00247931"/>
    <w:rsid w:val="00250092"/>
    <w:rsid w:val="0025064E"/>
    <w:rsid w:val="00250D74"/>
    <w:rsid w:val="002515A2"/>
    <w:rsid w:val="00251981"/>
    <w:rsid w:val="00251F6C"/>
    <w:rsid w:val="002520E5"/>
    <w:rsid w:val="002526D0"/>
    <w:rsid w:val="00252945"/>
    <w:rsid w:val="00252B8B"/>
    <w:rsid w:val="00252CCD"/>
    <w:rsid w:val="0025449C"/>
    <w:rsid w:val="00254519"/>
    <w:rsid w:val="00254BBD"/>
    <w:rsid w:val="002550FD"/>
    <w:rsid w:val="00256515"/>
    <w:rsid w:val="002569A1"/>
    <w:rsid w:val="00256AFC"/>
    <w:rsid w:val="00256E86"/>
    <w:rsid w:val="00256FEB"/>
    <w:rsid w:val="00257343"/>
    <w:rsid w:val="00257826"/>
    <w:rsid w:val="00257D28"/>
    <w:rsid w:val="00257FFA"/>
    <w:rsid w:val="00260148"/>
    <w:rsid w:val="002601B8"/>
    <w:rsid w:val="0026057C"/>
    <w:rsid w:val="00262B03"/>
    <w:rsid w:val="00262F0C"/>
    <w:rsid w:val="00262FE0"/>
    <w:rsid w:val="0026325E"/>
    <w:rsid w:val="0026327C"/>
    <w:rsid w:val="00263D64"/>
    <w:rsid w:val="00263E95"/>
    <w:rsid w:val="0026412A"/>
    <w:rsid w:val="0026416C"/>
    <w:rsid w:val="00264283"/>
    <w:rsid w:val="002646F6"/>
    <w:rsid w:val="00264AC0"/>
    <w:rsid w:val="00264B7B"/>
    <w:rsid w:val="00264C24"/>
    <w:rsid w:val="00264E71"/>
    <w:rsid w:val="00265769"/>
    <w:rsid w:val="0026599A"/>
    <w:rsid w:val="00265C3A"/>
    <w:rsid w:val="00265DED"/>
    <w:rsid w:val="0026669E"/>
    <w:rsid w:val="00266E5D"/>
    <w:rsid w:val="002675F3"/>
    <w:rsid w:val="00267875"/>
    <w:rsid w:val="00267D46"/>
    <w:rsid w:val="00267EBB"/>
    <w:rsid w:val="00270146"/>
    <w:rsid w:val="00270834"/>
    <w:rsid w:val="00271127"/>
    <w:rsid w:val="00271B91"/>
    <w:rsid w:val="00272178"/>
    <w:rsid w:val="00272612"/>
    <w:rsid w:val="00272A1D"/>
    <w:rsid w:val="002730A9"/>
    <w:rsid w:val="00273198"/>
    <w:rsid w:val="00273670"/>
    <w:rsid w:val="002738F1"/>
    <w:rsid w:val="00273C8A"/>
    <w:rsid w:val="002744CC"/>
    <w:rsid w:val="00274673"/>
    <w:rsid w:val="00274761"/>
    <w:rsid w:val="002748DD"/>
    <w:rsid w:val="00274C93"/>
    <w:rsid w:val="00275F7E"/>
    <w:rsid w:val="00276226"/>
    <w:rsid w:val="0027632E"/>
    <w:rsid w:val="00276C20"/>
    <w:rsid w:val="002771C3"/>
    <w:rsid w:val="002771CA"/>
    <w:rsid w:val="0027764A"/>
    <w:rsid w:val="00277A24"/>
    <w:rsid w:val="00277A2A"/>
    <w:rsid w:val="00277AE4"/>
    <w:rsid w:val="00277F19"/>
    <w:rsid w:val="002800CF"/>
    <w:rsid w:val="002804E9"/>
    <w:rsid w:val="0028058D"/>
    <w:rsid w:val="002814E6"/>
    <w:rsid w:val="00281EBC"/>
    <w:rsid w:val="00282147"/>
    <w:rsid w:val="0028270E"/>
    <w:rsid w:val="0028287D"/>
    <w:rsid w:val="00282BF0"/>
    <w:rsid w:val="00282CFF"/>
    <w:rsid w:val="002838CF"/>
    <w:rsid w:val="002841D2"/>
    <w:rsid w:val="00284B2C"/>
    <w:rsid w:val="00284C8B"/>
    <w:rsid w:val="00284DC9"/>
    <w:rsid w:val="0028511A"/>
    <w:rsid w:val="00286126"/>
    <w:rsid w:val="0028647C"/>
    <w:rsid w:val="00286895"/>
    <w:rsid w:val="00286927"/>
    <w:rsid w:val="002871A4"/>
    <w:rsid w:val="0028752A"/>
    <w:rsid w:val="00287CAA"/>
    <w:rsid w:val="00287EEF"/>
    <w:rsid w:val="0029108B"/>
    <w:rsid w:val="0029120A"/>
    <w:rsid w:val="00291227"/>
    <w:rsid w:val="002915B4"/>
    <w:rsid w:val="00291E2D"/>
    <w:rsid w:val="002930BC"/>
    <w:rsid w:val="002931B3"/>
    <w:rsid w:val="0029388F"/>
    <w:rsid w:val="00293BB8"/>
    <w:rsid w:val="00294529"/>
    <w:rsid w:val="002946CD"/>
    <w:rsid w:val="002946E5"/>
    <w:rsid w:val="002949CB"/>
    <w:rsid w:val="00295B4C"/>
    <w:rsid w:val="0029692E"/>
    <w:rsid w:val="00296CEE"/>
    <w:rsid w:val="00296D57"/>
    <w:rsid w:val="00297099"/>
    <w:rsid w:val="00297272"/>
    <w:rsid w:val="00297390"/>
    <w:rsid w:val="002976DC"/>
    <w:rsid w:val="00297806"/>
    <w:rsid w:val="00297BD7"/>
    <w:rsid w:val="002A030A"/>
    <w:rsid w:val="002A04BB"/>
    <w:rsid w:val="002A1329"/>
    <w:rsid w:val="002A2863"/>
    <w:rsid w:val="002A2EB2"/>
    <w:rsid w:val="002A30AE"/>
    <w:rsid w:val="002A3C69"/>
    <w:rsid w:val="002A5577"/>
    <w:rsid w:val="002A55A5"/>
    <w:rsid w:val="002A5AF9"/>
    <w:rsid w:val="002A5D8D"/>
    <w:rsid w:val="002A5D94"/>
    <w:rsid w:val="002A5EDA"/>
    <w:rsid w:val="002A6258"/>
    <w:rsid w:val="002A6549"/>
    <w:rsid w:val="002A654D"/>
    <w:rsid w:val="002A7098"/>
    <w:rsid w:val="002B03CC"/>
    <w:rsid w:val="002B0409"/>
    <w:rsid w:val="002B0828"/>
    <w:rsid w:val="002B1422"/>
    <w:rsid w:val="002B145E"/>
    <w:rsid w:val="002B1529"/>
    <w:rsid w:val="002B1C09"/>
    <w:rsid w:val="002B2089"/>
    <w:rsid w:val="002B211C"/>
    <w:rsid w:val="002B2575"/>
    <w:rsid w:val="002B29E2"/>
    <w:rsid w:val="002B32E0"/>
    <w:rsid w:val="002B378D"/>
    <w:rsid w:val="002B3A57"/>
    <w:rsid w:val="002B4B76"/>
    <w:rsid w:val="002B4BF5"/>
    <w:rsid w:val="002B4D34"/>
    <w:rsid w:val="002B51D6"/>
    <w:rsid w:val="002B580D"/>
    <w:rsid w:val="002B5B22"/>
    <w:rsid w:val="002B5CE9"/>
    <w:rsid w:val="002B5D91"/>
    <w:rsid w:val="002B5DA7"/>
    <w:rsid w:val="002B5FFC"/>
    <w:rsid w:val="002B6091"/>
    <w:rsid w:val="002B6593"/>
    <w:rsid w:val="002B6709"/>
    <w:rsid w:val="002B6E9C"/>
    <w:rsid w:val="002B6F90"/>
    <w:rsid w:val="002B6F97"/>
    <w:rsid w:val="002B73BB"/>
    <w:rsid w:val="002B7A29"/>
    <w:rsid w:val="002B7C8E"/>
    <w:rsid w:val="002B7E5F"/>
    <w:rsid w:val="002B7EC4"/>
    <w:rsid w:val="002C0288"/>
    <w:rsid w:val="002C0855"/>
    <w:rsid w:val="002C0CEF"/>
    <w:rsid w:val="002C16AF"/>
    <w:rsid w:val="002C19C8"/>
    <w:rsid w:val="002C1BFA"/>
    <w:rsid w:val="002C2645"/>
    <w:rsid w:val="002C27CF"/>
    <w:rsid w:val="002C27DA"/>
    <w:rsid w:val="002C358E"/>
    <w:rsid w:val="002C5611"/>
    <w:rsid w:val="002C56EA"/>
    <w:rsid w:val="002C579B"/>
    <w:rsid w:val="002C58C0"/>
    <w:rsid w:val="002C5A00"/>
    <w:rsid w:val="002C5F75"/>
    <w:rsid w:val="002C618F"/>
    <w:rsid w:val="002C68EA"/>
    <w:rsid w:val="002C7050"/>
    <w:rsid w:val="002C7231"/>
    <w:rsid w:val="002C7DE5"/>
    <w:rsid w:val="002C7FE3"/>
    <w:rsid w:val="002D0D89"/>
    <w:rsid w:val="002D0ECC"/>
    <w:rsid w:val="002D1160"/>
    <w:rsid w:val="002D1168"/>
    <w:rsid w:val="002D1D27"/>
    <w:rsid w:val="002D1E54"/>
    <w:rsid w:val="002D227D"/>
    <w:rsid w:val="002D2552"/>
    <w:rsid w:val="002D27F5"/>
    <w:rsid w:val="002D29F4"/>
    <w:rsid w:val="002D30DC"/>
    <w:rsid w:val="002D3820"/>
    <w:rsid w:val="002D38B7"/>
    <w:rsid w:val="002D3ACC"/>
    <w:rsid w:val="002D40F6"/>
    <w:rsid w:val="002D4AE7"/>
    <w:rsid w:val="002D4DFA"/>
    <w:rsid w:val="002D5715"/>
    <w:rsid w:val="002D5845"/>
    <w:rsid w:val="002D58CE"/>
    <w:rsid w:val="002D6000"/>
    <w:rsid w:val="002D6EF2"/>
    <w:rsid w:val="002D7696"/>
    <w:rsid w:val="002D7698"/>
    <w:rsid w:val="002E01A1"/>
    <w:rsid w:val="002E025F"/>
    <w:rsid w:val="002E0BF2"/>
    <w:rsid w:val="002E169B"/>
    <w:rsid w:val="002E1AFD"/>
    <w:rsid w:val="002E244A"/>
    <w:rsid w:val="002E26A7"/>
    <w:rsid w:val="002E2BE9"/>
    <w:rsid w:val="002E3219"/>
    <w:rsid w:val="002E4115"/>
    <w:rsid w:val="002E4138"/>
    <w:rsid w:val="002E548A"/>
    <w:rsid w:val="002E5522"/>
    <w:rsid w:val="002E5915"/>
    <w:rsid w:val="002E5A5D"/>
    <w:rsid w:val="002E5D6E"/>
    <w:rsid w:val="002E6A86"/>
    <w:rsid w:val="002E6FE7"/>
    <w:rsid w:val="002E772F"/>
    <w:rsid w:val="002F001F"/>
    <w:rsid w:val="002F03CF"/>
    <w:rsid w:val="002F08B6"/>
    <w:rsid w:val="002F0BB5"/>
    <w:rsid w:val="002F0F7D"/>
    <w:rsid w:val="002F1380"/>
    <w:rsid w:val="002F1477"/>
    <w:rsid w:val="002F16F4"/>
    <w:rsid w:val="002F1FDB"/>
    <w:rsid w:val="002F208D"/>
    <w:rsid w:val="002F2130"/>
    <w:rsid w:val="002F21C7"/>
    <w:rsid w:val="002F26AB"/>
    <w:rsid w:val="002F2E4E"/>
    <w:rsid w:val="002F2F30"/>
    <w:rsid w:val="002F2FC1"/>
    <w:rsid w:val="002F3722"/>
    <w:rsid w:val="002F4034"/>
    <w:rsid w:val="002F40FE"/>
    <w:rsid w:val="002F46B3"/>
    <w:rsid w:val="002F4F25"/>
    <w:rsid w:val="002F546D"/>
    <w:rsid w:val="002F61DA"/>
    <w:rsid w:val="002F63DC"/>
    <w:rsid w:val="002F6EF0"/>
    <w:rsid w:val="003009C1"/>
    <w:rsid w:val="00300CAA"/>
    <w:rsid w:val="00300CDF"/>
    <w:rsid w:val="00301108"/>
    <w:rsid w:val="00301EE2"/>
    <w:rsid w:val="00302A34"/>
    <w:rsid w:val="00302E21"/>
    <w:rsid w:val="00302EDB"/>
    <w:rsid w:val="003032E9"/>
    <w:rsid w:val="00304110"/>
    <w:rsid w:val="003044C9"/>
    <w:rsid w:val="0030475E"/>
    <w:rsid w:val="00305171"/>
    <w:rsid w:val="003053DF"/>
    <w:rsid w:val="003056AC"/>
    <w:rsid w:val="00307780"/>
    <w:rsid w:val="00310089"/>
    <w:rsid w:val="00311009"/>
    <w:rsid w:val="0031156B"/>
    <w:rsid w:val="003118CD"/>
    <w:rsid w:val="003121A4"/>
    <w:rsid w:val="00312653"/>
    <w:rsid w:val="003130D7"/>
    <w:rsid w:val="003137F1"/>
    <w:rsid w:val="00313D0F"/>
    <w:rsid w:val="00313EEE"/>
    <w:rsid w:val="00314240"/>
    <w:rsid w:val="003142D0"/>
    <w:rsid w:val="003149E6"/>
    <w:rsid w:val="003153F3"/>
    <w:rsid w:val="00315AB4"/>
    <w:rsid w:val="00315AF3"/>
    <w:rsid w:val="00316ACE"/>
    <w:rsid w:val="00316D9F"/>
    <w:rsid w:val="00317006"/>
    <w:rsid w:val="00317083"/>
    <w:rsid w:val="00317A7A"/>
    <w:rsid w:val="00317CD1"/>
    <w:rsid w:val="0032003B"/>
    <w:rsid w:val="00320567"/>
    <w:rsid w:val="00320891"/>
    <w:rsid w:val="003210BC"/>
    <w:rsid w:val="00321ECF"/>
    <w:rsid w:val="0032258A"/>
    <w:rsid w:val="00322983"/>
    <w:rsid w:val="00322A81"/>
    <w:rsid w:val="00322D04"/>
    <w:rsid w:val="00322F0B"/>
    <w:rsid w:val="003237BD"/>
    <w:rsid w:val="00323EC5"/>
    <w:rsid w:val="00324DFC"/>
    <w:rsid w:val="00324E0C"/>
    <w:rsid w:val="0032600E"/>
    <w:rsid w:val="0032686F"/>
    <w:rsid w:val="00326AA8"/>
    <w:rsid w:val="00327417"/>
    <w:rsid w:val="00327C00"/>
    <w:rsid w:val="00327C68"/>
    <w:rsid w:val="003300C8"/>
    <w:rsid w:val="00330851"/>
    <w:rsid w:val="00330C47"/>
    <w:rsid w:val="003314C8"/>
    <w:rsid w:val="00331A17"/>
    <w:rsid w:val="00331F55"/>
    <w:rsid w:val="00332237"/>
    <w:rsid w:val="00332866"/>
    <w:rsid w:val="00332ABE"/>
    <w:rsid w:val="00332C57"/>
    <w:rsid w:val="00333597"/>
    <w:rsid w:val="00333D43"/>
    <w:rsid w:val="003340F6"/>
    <w:rsid w:val="003343F7"/>
    <w:rsid w:val="00334C61"/>
    <w:rsid w:val="00334E97"/>
    <w:rsid w:val="00335576"/>
    <w:rsid w:val="00335D2C"/>
    <w:rsid w:val="00335F14"/>
    <w:rsid w:val="00336341"/>
    <w:rsid w:val="00336517"/>
    <w:rsid w:val="0033670E"/>
    <w:rsid w:val="003368DB"/>
    <w:rsid w:val="00336D23"/>
    <w:rsid w:val="00337084"/>
    <w:rsid w:val="00337866"/>
    <w:rsid w:val="00337872"/>
    <w:rsid w:val="00337E8B"/>
    <w:rsid w:val="003402BA"/>
    <w:rsid w:val="00340406"/>
    <w:rsid w:val="00340A3E"/>
    <w:rsid w:val="00340F2E"/>
    <w:rsid w:val="00341304"/>
    <w:rsid w:val="003414A0"/>
    <w:rsid w:val="00341F04"/>
    <w:rsid w:val="0034213F"/>
    <w:rsid w:val="0034222D"/>
    <w:rsid w:val="003424AA"/>
    <w:rsid w:val="0034260F"/>
    <w:rsid w:val="003429FA"/>
    <w:rsid w:val="00342DD1"/>
    <w:rsid w:val="00343667"/>
    <w:rsid w:val="003436F8"/>
    <w:rsid w:val="003440A7"/>
    <w:rsid w:val="00344367"/>
    <w:rsid w:val="00344990"/>
    <w:rsid w:val="00344CBA"/>
    <w:rsid w:val="003457FE"/>
    <w:rsid w:val="00346418"/>
    <w:rsid w:val="0034680A"/>
    <w:rsid w:val="003471EB"/>
    <w:rsid w:val="0034732D"/>
    <w:rsid w:val="0034787A"/>
    <w:rsid w:val="00347AC4"/>
    <w:rsid w:val="00347B24"/>
    <w:rsid w:val="00347DCC"/>
    <w:rsid w:val="00347E9E"/>
    <w:rsid w:val="00350A84"/>
    <w:rsid w:val="00350ADC"/>
    <w:rsid w:val="00350C89"/>
    <w:rsid w:val="00350E93"/>
    <w:rsid w:val="0035100C"/>
    <w:rsid w:val="00351823"/>
    <w:rsid w:val="00351842"/>
    <w:rsid w:val="00352CBC"/>
    <w:rsid w:val="0035392F"/>
    <w:rsid w:val="00353A25"/>
    <w:rsid w:val="00354347"/>
    <w:rsid w:val="003546D6"/>
    <w:rsid w:val="003549C5"/>
    <w:rsid w:val="00354D63"/>
    <w:rsid w:val="00354EA0"/>
    <w:rsid w:val="003551C1"/>
    <w:rsid w:val="00355B6C"/>
    <w:rsid w:val="003561E0"/>
    <w:rsid w:val="00356EE7"/>
    <w:rsid w:val="00357104"/>
    <w:rsid w:val="003576D2"/>
    <w:rsid w:val="0035792E"/>
    <w:rsid w:val="00357A40"/>
    <w:rsid w:val="00357B8C"/>
    <w:rsid w:val="00360265"/>
    <w:rsid w:val="0036041D"/>
    <w:rsid w:val="0036052E"/>
    <w:rsid w:val="00360CD1"/>
    <w:rsid w:val="00362327"/>
    <w:rsid w:val="00362697"/>
    <w:rsid w:val="00362BDB"/>
    <w:rsid w:val="00362E96"/>
    <w:rsid w:val="003634F3"/>
    <w:rsid w:val="00363717"/>
    <w:rsid w:val="00363A8A"/>
    <w:rsid w:val="00363C0D"/>
    <w:rsid w:val="00363FF8"/>
    <w:rsid w:val="003648D7"/>
    <w:rsid w:val="00365AD8"/>
    <w:rsid w:val="00365D81"/>
    <w:rsid w:val="0036609E"/>
    <w:rsid w:val="00366774"/>
    <w:rsid w:val="00366A32"/>
    <w:rsid w:val="00366C15"/>
    <w:rsid w:val="003704E9"/>
    <w:rsid w:val="00370577"/>
    <w:rsid w:val="003706A9"/>
    <w:rsid w:val="0037075B"/>
    <w:rsid w:val="0037084D"/>
    <w:rsid w:val="003708AF"/>
    <w:rsid w:val="00372052"/>
    <w:rsid w:val="003723B2"/>
    <w:rsid w:val="00372B81"/>
    <w:rsid w:val="00373B5C"/>
    <w:rsid w:val="00373DB0"/>
    <w:rsid w:val="0037474F"/>
    <w:rsid w:val="00374C11"/>
    <w:rsid w:val="00375915"/>
    <w:rsid w:val="00375ED9"/>
    <w:rsid w:val="00375F7E"/>
    <w:rsid w:val="0037671E"/>
    <w:rsid w:val="00376FE9"/>
    <w:rsid w:val="0037721D"/>
    <w:rsid w:val="00377505"/>
    <w:rsid w:val="00380128"/>
    <w:rsid w:val="0038102A"/>
    <w:rsid w:val="003815E9"/>
    <w:rsid w:val="00382216"/>
    <w:rsid w:val="0038227C"/>
    <w:rsid w:val="0038362C"/>
    <w:rsid w:val="0038381C"/>
    <w:rsid w:val="00383833"/>
    <w:rsid w:val="00384EB9"/>
    <w:rsid w:val="00385900"/>
    <w:rsid w:val="00385AB9"/>
    <w:rsid w:val="00385B42"/>
    <w:rsid w:val="0038644D"/>
    <w:rsid w:val="003864A5"/>
    <w:rsid w:val="00386729"/>
    <w:rsid w:val="00386A84"/>
    <w:rsid w:val="00386F66"/>
    <w:rsid w:val="0038745A"/>
    <w:rsid w:val="0038758B"/>
    <w:rsid w:val="00387E28"/>
    <w:rsid w:val="00390560"/>
    <w:rsid w:val="00391124"/>
    <w:rsid w:val="0039147D"/>
    <w:rsid w:val="00391872"/>
    <w:rsid w:val="003921ED"/>
    <w:rsid w:val="00392CAB"/>
    <w:rsid w:val="00392E94"/>
    <w:rsid w:val="003932A8"/>
    <w:rsid w:val="003933BF"/>
    <w:rsid w:val="00393749"/>
    <w:rsid w:val="003938B4"/>
    <w:rsid w:val="00393C53"/>
    <w:rsid w:val="00393D20"/>
    <w:rsid w:val="003943EC"/>
    <w:rsid w:val="00394708"/>
    <w:rsid w:val="003947F0"/>
    <w:rsid w:val="00394851"/>
    <w:rsid w:val="00394B3F"/>
    <w:rsid w:val="00394E3F"/>
    <w:rsid w:val="0039595C"/>
    <w:rsid w:val="00395E42"/>
    <w:rsid w:val="0039740F"/>
    <w:rsid w:val="00397AB4"/>
    <w:rsid w:val="003A065A"/>
    <w:rsid w:val="003A10C1"/>
    <w:rsid w:val="003A117A"/>
    <w:rsid w:val="003A175F"/>
    <w:rsid w:val="003A18A9"/>
    <w:rsid w:val="003A1B04"/>
    <w:rsid w:val="003A1DF2"/>
    <w:rsid w:val="003A2AFC"/>
    <w:rsid w:val="003A3661"/>
    <w:rsid w:val="003A3DD7"/>
    <w:rsid w:val="003A4E0A"/>
    <w:rsid w:val="003A4E64"/>
    <w:rsid w:val="003A4FB0"/>
    <w:rsid w:val="003A5032"/>
    <w:rsid w:val="003A50DB"/>
    <w:rsid w:val="003A5883"/>
    <w:rsid w:val="003A5AB1"/>
    <w:rsid w:val="003A6E4B"/>
    <w:rsid w:val="003B07EC"/>
    <w:rsid w:val="003B089D"/>
    <w:rsid w:val="003B0966"/>
    <w:rsid w:val="003B0F04"/>
    <w:rsid w:val="003B12E3"/>
    <w:rsid w:val="003B149C"/>
    <w:rsid w:val="003B1E52"/>
    <w:rsid w:val="003B215D"/>
    <w:rsid w:val="003B2735"/>
    <w:rsid w:val="003B2C25"/>
    <w:rsid w:val="003B3234"/>
    <w:rsid w:val="003B3FF6"/>
    <w:rsid w:val="003B4112"/>
    <w:rsid w:val="003B4D96"/>
    <w:rsid w:val="003B4ED8"/>
    <w:rsid w:val="003B5379"/>
    <w:rsid w:val="003B5A69"/>
    <w:rsid w:val="003B5E46"/>
    <w:rsid w:val="003B6241"/>
    <w:rsid w:val="003B62EB"/>
    <w:rsid w:val="003B64E0"/>
    <w:rsid w:val="003B6848"/>
    <w:rsid w:val="003B6E5B"/>
    <w:rsid w:val="003B701C"/>
    <w:rsid w:val="003B761F"/>
    <w:rsid w:val="003B79B4"/>
    <w:rsid w:val="003B7ABB"/>
    <w:rsid w:val="003C0170"/>
    <w:rsid w:val="003C03CF"/>
    <w:rsid w:val="003C11ED"/>
    <w:rsid w:val="003C123A"/>
    <w:rsid w:val="003C1240"/>
    <w:rsid w:val="003C1586"/>
    <w:rsid w:val="003C188E"/>
    <w:rsid w:val="003C2081"/>
    <w:rsid w:val="003C2B80"/>
    <w:rsid w:val="003C2EDB"/>
    <w:rsid w:val="003C2F53"/>
    <w:rsid w:val="003C350D"/>
    <w:rsid w:val="003C3695"/>
    <w:rsid w:val="003C371A"/>
    <w:rsid w:val="003C4479"/>
    <w:rsid w:val="003C46E1"/>
    <w:rsid w:val="003C48FD"/>
    <w:rsid w:val="003C4BC8"/>
    <w:rsid w:val="003C532C"/>
    <w:rsid w:val="003C576D"/>
    <w:rsid w:val="003C6AA4"/>
    <w:rsid w:val="003C6BFE"/>
    <w:rsid w:val="003C6CFF"/>
    <w:rsid w:val="003C6E50"/>
    <w:rsid w:val="003C7C83"/>
    <w:rsid w:val="003D0C19"/>
    <w:rsid w:val="003D0DE8"/>
    <w:rsid w:val="003D195C"/>
    <w:rsid w:val="003D203C"/>
    <w:rsid w:val="003D22E0"/>
    <w:rsid w:val="003D23A3"/>
    <w:rsid w:val="003D2BB0"/>
    <w:rsid w:val="003D30E3"/>
    <w:rsid w:val="003D3683"/>
    <w:rsid w:val="003D5471"/>
    <w:rsid w:val="003D5856"/>
    <w:rsid w:val="003D5E42"/>
    <w:rsid w:val="003D5F97"/>
    <w:rsid w:val="003D6565"/>
    <w:rsid w:val="003D672B"/>
    <w:rsid w:val="003D694A"/>
    <w:rsid w:val="003D6F41"/>
    <w:rsid w:val="003D7CAF"/>
    <w:rsid w:val="003D7E93"/>
    <w:rsid w:val="003E0781"/>
    <w:rsid w:val="003E09D6"/>
    <w:rsid w:val="003E12C8"/>
    <w:rsid w:val="003E1672"/>
    <w:rsid w:val="003E16EE"/>
    <w:rsid w:val="003E1B2C"/>
    <w:rsid w:val="003E2207"/>
    <w:rsid w:val="003E2611"/>
    <w:rsid w:val="003E2852"/>
    <w:rsid w:val="003E3451"/>
    <w:rsid w:val="003E34C1"/>
    <w:rsid w:val="003E3E45"/>
    <w:rsid w:val="003E41BF"/>
    <w:rsid w:val="003E44D4"/>
    <w:rsid w:val="003E4965"/>
    <w:rsid w:val="003E4AE4"/>
    <w:rsid w:val="003E4CF7"/>
    <w:rsid w:val="003E4EA6"/>
    <w:rsid w:val="003E50D2"/>
    <w:rsid w:val="003E52FC"/>
    <w:rsid w:val="003E53BD"/>
    <w:rsid w:val="003E6868"/>
    <w:rsid w:val="003E6EEB"/>
    <w:rsid w:val="003E7262"/>
    <w:rsid w:val="003E731D"/>
    <w:rsid w:val="003E7BE8"/>
    <w:rsid w:val="003E7C08"/>
    <w:rsid w:val="003E7E4A"/>
    <w:rsid w:val="003F068B"/>
    <w:rsid w:val="003F0750"/>
    <w:rsid w:val="003F0A63"/>
    <w:rsid w:val="003F0B5C"/>
    <w:rsid w:val="003F14E9"/>
    <w:rsid w:val="003F19DD"/>
    <w:rsid w:val="003F1D9D"/>
    <w:rsid w:val="003F2C01"/>
    <w:rsid w:val="003F2DB9"/>
    <w:rsid w:val="003F2F5C"/>
    <w:rsid w:val="003F3015"/>
    <w:rsid w:val="003F344E"/>
    <w:rsid w:val="003F39EE"/>
    <w:rsid w:val="003F3EE7"/>
    <w:rsid w:val="003F4E74"/>
    <w:rsid w:val="003F5541"/>
    <w:rsid w:val="003F5840"/>
    <w:rsid w:val="003F5EBC"/>
    <w:rsid w:val="003F67AD"/>
    <w:rsid w:val="003F6E8A"/>
    <w:rsid w:val="003F7815"/>
    <w:rsid w:val="003F7EED"/>
    <w:rsid w:val="00400081"/>
    <w:rsid w:val="004008C9"/>
    <w:rsid w:val="00400F94"/>
    <w:rsid w:val="004013AA"/>
    <w:rsid w:val="00401BED"/>
    <w:rsid w:val="00401D58"/>
    <w:rsid w:val="004021E8"/>
    <w:rsid w:val="00402597"/>
    <w:rsid w:val="00402B02"/>
    <w:rsid w:val="00403216"/>
    <w:rsid w:val="004035F0"/>
    <w:rsid w:val="00403B8E"/>
    <w:rsid w:val="00403EA3"/>
    <w:rsid w:val="0040452F"/>
    <w:rsid w:val="00404D63"/>
    <w:rsid w:val="00404E4F"/>
    <w:rsid w:val="00404FC7"/>
    <w:rsid w:val="00404FC8"/>
    <w:rsid w:val="004056B3"/>
    <w:rsid w:val="0040576D"/>
    <w:rsid w:val="00406005"/>
    <w:rsid w:val="00406140"/>
    <w:rsid w:val="00406CCE"/>
    <w:rsid w:val="004074DE"/>
    <w:rsid w:val="004076C6"/>
    <w:rsid w:val="00407899"/>
    <w:rsid w:val="004079CF"/>
    <w:rsid w:val="00407EC1"/>
    <w:rsid w:val="004106F4"/>
    <w:rsid w:val="004110E7"/>
    <w:rsid w:val="0041132A"/>
    <w:rsid w:val="00411FEC"/>
    <w:rsid w:val="004129B6"/>
    <w:rsid w:val="00414C5F"/>
    <w:rsid w:val="00415410"/>
    <w:rsid w:val="00415CA4"/>
    <w:rsid w:val="004161E1"/>
    <w:rsid w:val="004168A7"/>
    <w:rsid w:val="004168B7"/>
    <w:rsid w:val="0041691C"/>
    <w:rsid w:val="00416A54"/>
    <w:rsid w:val="00416C43"/>
    <w:rsid w:val="0041705A"/>
    <w:rsid w:val="0041746E"/>
    <w:rsid w:val="00417749"/>
    <w:rsid w:val="00417B48"/>
    <w:rsid w:val="004201C7"/>
    <w:rsid w:val="00420388"/>
    <w:rsid w:val="00420511"/>
    <w:rsid w:val="004216AA"/>
    <w:rsid w:val="004217BC"/>
    <w:rsid w:val="00421979"/>
    <w:rsid w:val="00421ED0"/>
    <w:rsid w:val="004221FC"/>
    <w:rsid w:val="004226FB"/>
    <w:rsid w:val="004232E7"/>
    <w:rsid w:val="0042339A"/>
    <w:rsid w:val="0042381F"/>
    <w:rsid w:val="00423916"/>
    <w:rsid w:val="00424107"/>
    <w:rsid w:val="0042414B"/>
    <w:rsid w:val="00424A6F"/>
    <w:rsid w:val="00424B18"/>
    <w:rsid w:val="00424C78"/>
    <w:rsid w:val="00424F75"/>
    <w:rsid w:val="0042508F"/>
    <w:rsid w:val="00425260"/>
    <w:rsid w:val="00425415"/>
    <w:rsid w:val="00425622"/>
    <w:rsid w:val="0042638E"/>
    <w:rsid w:val="0042639C"/>
    <w:rsid w:val="00426563"/>
    <w:rsid w:val="004269D0"/>
    <w:rsid w:val="00426F07"/>
    <w:rsid w:val="00427B33"/>
    <w:rsid w:val="00427B4D"/>
    <w:rsid w:val="0043086D"/>
    <w:rsid w:val="00430C5E"/>
    <w:rsid w:val="0043100F"/>
    <w:rsid w:val="00431086"/>
    <w:rsid w:val="0043108E"/>
    <w:rsid w:val="004310D9"/>
    <w:rsid w:val="00431432"/>
    <w:rsid w:val="004318DE"/>
    <w:rsid w:val="0043211E"/>
    <w:rsid w:val="004321A8"/>
    <w:rsid w:val="0043225F"/>
    <w:rsid w:val="00432313"/>
    <w:rsid w:val="00432690"/>
    <w:rsid w:val="00432C9B"/>
    <w:rsid w:val="00432EF6"/>
    <w:rsid w:val="00434E32"/>
    <w:rsid w:val="00435477"/>
    <w:rsid w:val="0043574A"/>
    <w:rsid w:val="0043575F"/>
    <w:rsid w:val="0043578F"/>
    <w:rsid w:val="00435BD7"/>
    <w:rsid w:val="004360D3"/>
    <w:rsid w:val="00437343"/>
    <w:rsid w:val="004375E9"/>
    <w:rsid w:val="0043798F"/>
    <w:rsid w:val="00440412"/>
    <w:rsid w:val="0044056A"/>
    <w:rsid w:val="00440EB3"/>
    <w:rsid w:val="004412EE"/>
    <w:rsid w:val="00441626"/>
    <w:rsid w:val="004417ED"/>
    <w:rsid w:val="00441992"/>
    <w:rsid w:val="00441F49"/>
    <w:rsid w:val="004420A2"/>
    <w:rsid w:val="004426C0"/>
    <w:rsid w:val="00442CF2"/>
    <w:rsid w:val="004431BE"/>
    <w:rsid w:val="004432DC"/>
    <w:rsid w:val="004434C5"/>
    <w:rsid w:val="00443767"/>
    <w:rsid w:val="00443AA0"/>
    <w:rsid w:val="00443AAD"/>
    <w:rsid w:val="00443C0D"/>
    <w:rsid w:val="00445159"/>
    <w:rsid w:val="00445D3D"/>
    <w:rsid w:val="00445EE2"/>
    <w:rsid w:val="004469DC"/>
    <w:rsid w:val="00446E01"/>
    <w:rsid w:val="00446FED"/>
    <w:rsid w:val="004471C3"/>
    <w:rsid w:val="004473BC"/>
    <w:rsid w:val="00447873"/>
    <w:rsid w:val="00451052"/>
    <w:rsid w:val="004511F3"/>
    <w:rsid w:val="00451464"/>
    <w:rsid w:val="00451473"/>
    <w:rsid w:val="0045158D"/>
    <w:rsid w:val="004518F5"/>
    <w:rsid w:val="00451CBD"/>
    <w:rsid w:val="0045373A"/>
    <w:rsid w:val="00453C3C"/>
    <w:rsid w:val="004540B2"/>
    <w:rsid w:val="0045412F"/>
    <w:rsid w:val="0045418E"/>
    <w:rsid w:val="004541A6"/>
    <w:rsid w:val="004543E4"/>
    <w:rsid w:val="00454D46"/>
    <w:rsid w:val="00454F4C"/>
    <w:rsid w:val="0045504F"/>
    <w:rsid w:val="004555B0"/>
    <w:rsid w:val="004556FD"/>
    <w:rsid w:val="0045587F"/>
    <w:rsid w:val="00455FE4"/>
    <w:rsid w:val="00456717"/>
    <w:rsid w:val="00456DC4"/>
    <w:rsid w:val="00457104"/>
    <w:rsid w:val="004577DA"/>
    <w:rsid w:val="004579F9"/>
    <w:rsid w:val="00457A3F"/>
    <w:rsid w:val="0046019B"/>
    <w:rsid w:val="004604C9"/>
    <w:rsid w:val="00460705"/>
    <w:rsid w:val="0046086A"/>
    <w:rsid w:val="00460EBD"/>
    <w:rsid w:val="004617D8"/>
    <w:rsid w:val="00461B90"/>
    <w:rsid w:val="00461FFF"/>
    <w:rsid w:val="0046219B"/>
    <w:rsid w:val="004621C2"/>
    <w:rsid w:val="0046253D"/>
    <w:rsid w:val="004634AC"/>
    <w:rsid w:val="004635FD"/>
    <w:rsid w:val="004636AE"/>
    <w:rsid w:val="004637D5"/>
    <w:rsid w:val="00463F16"/>
    <w:rsid w:val="004649A9"/>
    <w:rsid w:val="00464B89"/>
    <w:rsid w:val="00464CA0"/>
    <w:rsid w:val="00464F63"/>
    <w:rsid w:val="004651D1"/>
    <w:rsid w:val="0046527D"/>
    <w:rsid w:val="004658B6"/>
    <w:rsid w:val="00465906"/>
    <w:rsid w:val="00467BAF"/>
    <w:rsid w:val="00467EAD"/>
    <w:rsid w:val="004705C9"/>
    <w:rsid w:val="00472B5A"/>
    <w:rsid w:val="00472CDA"/>
    <w:rsid w:val="00473655"/>
    <w:rsid w:val="00473B7A"/>
    <w:rsid w:val="00473C89"/>
    <w:rsid w:val="00475811"/>
    <w:rsid w:val="00475C77"/>
    <w:rsid w:val="00476374"/>
    <w:rsid w:val="0047667B"/>
    <w:rsid w:val="00476740"/>
    <w:rsid w:val="00477297"/>
    <w:rsid w:val="004777C0"/>
    <w:rsid w:val="00477C9D"/>
    <w:rsid w:val="00477D14"/>
    <w:rsid w:val="00477E97"/>
    <w:rsid w:val="0048028D"/>
    <w:rsid w:val="00480673"/>
    <w:rsid w:val="004808CD"/>
    <w:rsid w:val="00480979"/>
    <w:rsid w:val="00480C56"/>
    <w:rsid w:val="004831CC"/>
    <w:rsid w:val="00483D9A"/>
    <w:rsid w:val="00483EA3"/>
    <w:rsid w:val="00485178"/>
    <w:rsid w:val="0048543F"/>
    <w:rsid w:val="00485F3F"/>
    <w:rsid w:val="00486183"/>
    <w:rsid w:val="00486668"/>
    <w:rsid w:val="00486E6A"/>
    <w:rsid w:val="00486F10"/>
    <w:rsid w:val="00486FC1"/>
    <w:rsid w:val="00487228"/>
    <w:rsid w:val="00487615"/>
    <w:rsid w:val="0049051E"/>
    <w:rsid w:val="004906A4"/>
    <w:rsid w:val="004907B8"/>
    <w:rsid w:val="00491320"/>
    <w:rsid w:val="004914D9"/>
    <w:rsid w:val="0049157D"/>
    <w:rsid w:val="00491808"/>
    <w:rsid w:val="00491C81"/>
    <w:rsid w:val="00491C91"/>
    <w:rsid w:val="00491FCD"/>
    <w:rsid w:val="00492161"/>
    <w:rsid w:val="00493158"/>
    <w:rsid w:val="004931ED"/>
    <w:rsid w:val="00493E23"/>
    <w:rsid w:val="00493F8D"/>
    <w:rsid w:val="0049441C"/>
    <w:rsid w:val="00494903"/>
    <w:rsid w:val="00494A2B"/>
    <w:rsid w:val="00494A6A"/>
    <w:rsid w:val="0049582F"/>
    <w:rsid w:val="00495B21"/>
    <w:rsid w:val="00495BF4"/>
    <w:rsid w:val="004961CD"/>
    <w:rsid w:val="00496C27"/>
    <w:rsid w:val="00496C90"/>
    <w:rsid w:val="00497309"/>
    <w:rsid w:val="00497363"/>
    <w:rsid w:val="00497B5F"/>
    <w:rsid w:val="00497B72"/>
    <w:rsid w:val="00497D2A"/>
    <w:rsid w:val="004A0620"/>
    <w:rsid w:val="004A0F31"/>
    <w:rsid w:val="004A146A"/>
    <w:rsid w:val="004A166E"/>
    <w:rsid w:val="004A23D3"/>
    <w:rsid w:val="004A240A"/>
    <w:rsid w:val="004A242E"/>
    <w:rsid w:val="004A378E"/>
    <w:rsid w:val="004A4A90"/>
    <w:rsid w:val="004A4AD2"/>
    <w:rsid w:val="004A4CF7"/>
    <w:rsid w:val="004A52C8"/>
    <w:rsid w:val="004A5A4E"/>
    <w:rsid w:val="004A5CF8"/>
    <w:rsid w:val="004A6250"/>
    <w:rsid w:val="004A64EC"/>
    <w:rsid w:val="004A67FB"/>
    <w:rsid w:val="004A74B2"/>
    <w:rsid w:val="004A7E75"/>
    <w:rsid w:val="004B0348"/>
    <w:rsid w:val="004B0410"/>
    <w:rsid w:val="004B06EE"/>
    <w:rsid w:val="004B0C16"/>
    <w:rsid w:val="004B0E9B"/>
    <w:rsid w:val="004B1601"/>
    <w:rsid w:val="004B282F"/>
    <w:rsid w:val="004B2FCB"/>
    <w:rsid w:val="004B3229"/>
    <w:rsid w:val="004B360E"/>
    <w:rsid w:val="004B3A57"/>
    <w:rsid w:val="004B3D18"/>
    <w:rsid w:val="004B3F0D"/>
    <w:rsid w:val="004B432B"/>
    <w:rsid w:val="004B5B3A"/>
    <w:rsid w:val="004B5BAD"/>
    <w:rsid w:val="004B5D1E"/>
    <w:rsid w:val="004B6097"/>
    <w:rsid w:val="004B609E"/>
    <w:rsid w:val="004B621A"/>
    <w:rsid w:val="004B622A"/>
    <w:rsid w:val="004B6C62"/>
    <w:rsid w:val="004B7317"/>
    <w:rsid w:val="004B77C3"/>
    <w:rsid w:val="004B7AB0"/>
    <w:rsid w:val="004C022F"/>
    <w:rsid w:val="004C08C7"/>
    <w:rsid w:val="004C0D7F"/>
    <w:rsid w:val="004C0F57"/>
    <w:rsid w:val="004C112F"/>
    <w:rsid w:val="004C1B66"/>
    <w:rsid w:val="004C1B8D"/>
    <w:rsid w:val="004C1C7B"/>
    <w:rsid w:val="004C1E1D"/>
    <w:rsid w:val="004C211C"/>
    <w:rsid w:val="004C2E15"/>
    <w:rsid w:val="004C2F05"/>
    <w:rsid w:val="004C32AF"/>
    <w:rsid w:val="004C3BFD"/>
    <w:rsid w:val="004C44AF"/>
    <w:rsid w:val="004C4F00"/>
    <w:rsid w:val="004C5C6F"/>
    <w:rsid w:val="004C5FEF"/>
    <w:rsid w:val="004C6B2A"/>
    <w:rsid w:val="004C6F0D"/>
    <w:rsid w:val="004C6F10"/>
    <w:rsid w:val="004C7149"/>
    <w:rsid w:val="004C757B"/>
    <w:rsid w:val="004C78DB"/>
    <w:rsid w:val="004D03A3"/>
    <w:rsid w:val="004D048A"/>
    <w:rsid w:val="004D0802"/>
    <w:rsid w:val="004D0C9B"/>
    <w:rsid w:val="004D0EF0"/>
    <w:rsid w:val="004D1474"/>
    <w:rsid w:val="004D1EA4"/>
    <w:rsid w:val="004D2299"/>
    <w:rsid w:val="004D2C8E"/>
    <w:rsid w:val="004D2DB9"/>
    <w:rsid w:val="004D2F7C"/>
    <w:rsid w:val="004D31E6"/>
    <w:rsid w:val="004D362A"/>
    <w:rsid w:val="004D45FB"/>
    <w:rsid w:val="004D502A"/>
    <w:rsid w:val="004D5A76"/>
    <w:rsid w:val="004D5BCC"/>
    <w:rsid w:val="004D5CB8"/>
    <w:rsid w:val="004D62BE"/>
    <w:rsid w:val="004D6436"/>
    <w:rsid w:val="004D666F"/>
    <w:rsid w:val="004D672D"/>
    <w:rsid w:val="004D6C49"/>
    <w:rsid w:val="004D6F0C"/>
    <w:rsid w:val="004E004F"/>
    <w:rsid w:val="004E00D8"/>
    <w:rsid w:val="004E01D8"/>
    <w:rsid w:val="004E02A6"/>
    <w:rsid w:val="004E06AA"/>
    <w:rsid w:val="004E0833"/>
    <w:rsid w:val="004E0D59"/>
    <w:rsid w:val="004E0EFF"/>
    <w:rsid w:val="004E140D"/>
    <w:rsid w:val="004E1A1C"/>
    <w:rsid w:val="004E1AD4"/>
    <w:rsid w:val="004E2227"/>
    <w:rsid w:val="004E2341"/>
    <w:rsid w:val="004E25D9"/>
    <w:rsid w:val="004E28C6"/>
    <w:rsid w:val="004E2E1C"/>
    <w:rsid w:val="004E4003"/>
    <w:rsid w:val="004E422C"/>
    <w:rsid w:val="004E4362"/>
    <w:rsid w:val="004E508B"/>
    <w:rsid w:val="004E529A"/>
    <w:rsid w:val="004E575C"/>
    <w:rsid w:val="004E636C"/>
    <w:rsid w:val="004E64BF"/>
    <w:rsid w:val="004E666C"/>
    <w:rsid w:val="004E6906"/>
    <w:rsid w:val="004E6A29"/>
    <w:rsid w:val="004E6CBA"/>
    <w:rsid w:val="004E785D"/>
    <w:rsid w:val="004E7862"/>
    <w:rsid w:val="004E7B92"/>
    <w:rsid w:val="004F071C"/>
    <w:rsid w:val="004F138F"/>
    <w:rsid w:val="004F15C8"/>
    <w:rsid w:val="004F1759"/>
    <w:rsid w:val="004F2028"/>
    <w:rsid w:val="004F272F"/>
    <w:rsid w:val="004F2FD5"/>
    <w:rsid w:val="004F3163"/>
    <w:rsid w:val="004F42F5"/>
    <w:rsid w:val="004F45E1"/>
    <w:rsid w:val="004F5451"/>
    <w:rsid w:val="004F57AF"/>
    <w:rsid w:val="004F57C2"/>
    <w:rsid w:val="004F6146"/>
    <w:rsid w:val="004F6165"/>
    <w:rsid w:val="004F6308"/>
    <w:rsid w:val="004F63E2"/>
    <w:rsid w:val="004F6546"/>
    <w:rsid w:val="004F6B6C"/>
    <w:rsid w:val="004F6BF8"/>
    <w:rsid w:val="004F78E5"/>
    <w:rsid w:val="005007DD"/>
    <w:rsid w:val="00500A6E"/>
    <w:rsid w:val="00500E88"/>
    <w:rsid w:val="00500FDA"/>
    <w:rsid w:val="00501A2A"/>
    <w:rsid w:val="00501FA1"/>
    <w:rsid w:val="00504823"/>
    <w:rsid w:val="00504CB4"/>
    <w:rsid w:val="005057C8"/>
    <w:rsid w:val="005060E3"/>
    <w:rsid w:val="0050646D"/>
    <w:rsid w:val="0050670B"/>
    <w:rsid w:val="00506E22"/>
    <w:rsid w:val="00507294"/>
    <w:rsid w:val="00507300"/>
    <w:rsid w:val="005076BF"/>
    <w:rsid w:val="005101BC"/>
    <w:rsid w:val="005102EF"/>
    <w:rsid w:val="00510F2A"/>
    <w:rsid w:val="00511098"/>
    <w:rsid w:val="005112AD"/>
    <w:rsid w:val="00512BA3"/>
    <w:rsid w:val="00512BED"/>
    <w:rsid w:val="005130FB"/>
    <w:rsid w:val="00513B09"/>
    <w:rsid w:val="00513B96"/>
    <w:rsid w:val="00513D7D"/>
    <w:rsid w:val="005141E8"/>
    <w:rsid w:val="005147D4"/>
    <w:rsid w:val="0051496E"/>
    <w:rsid w:val="00514D98"/>
    <w:rsid w:val="00514DD5"/>
    <w:rsid w:val="00514DF9"/>
    <w:rsid w:val="00514E1E"/>
    <w:rsid w:val="00515565"/>
    <w:rsid w:val="0051604D"/>
    <w:rsid w:val="005161E9"/>
    <w:rsid w:val="005163F5"/>
    <w:rsid w:val="0051658A"/>
    <w:rsid w:val="00516C72"/>
    <w:rsid w:val="00516FE2"/>
    <w:rsid w:val="00517349"/>
    <w:rsid w:val="0051777F"/>
    <w:rsid w:val="00517874"/>
    <w:rsid w:val="00517A9B"/>
    <w:rsid w:val="00517BC4"/>
    <w:rsid w:val="00517C08"/>
    <w:rsid w:val="00517E61"/>
    <w:rsid w:val="00517F9B"/>
    <w:rsid w:val="005205FF"/>
    <w:rsid w:val="0052086E"/>
    <w:rsid w:val="00520AE1"/>
    <w:rsid w:val="00520EE7"/>
    <w:rsid w:val="00521072"/>
    <w:rsid w:val="005218ED"/>
    <w:rsid w:val="00521B4E"/>
    <w:rsid w:val="00521BCC"/>
    <w:rsid w:val="00522422"/>
    <w:rsid w:val="005225E6"/>
    <w:rsid w:val="00522646"/>
    <w:rsid w:val="0052294E"/>
    <w:rsid w:val="0052300C"/>
    <w:rsid w:val="0052329D"/>
    <w:rsid w:val="0052395A"/>
    <w:rsid w:val="0052457F"/>
    <w:rsid w:val="00524FF5"/>
    <w:rsid w:val="00525166"/>
    <w:rsid w:val="0052528A"/>
    <w:rsid w:val="00525AE2"/>
    <w:rsid w:val="005263C7"/>
    <w:rsid w:val="005267D3"/>
    <w:rsid w:val="00526950"/>
    <w:rsid w:val="005269A9"/>
    <w:rsid w:val="005269C6"/>
    <w:rsid w:val="00526B1A"/>
    <w:rsid w:val="00526C9B"/>
    <w:rsid w:val="005272D7"/>
    <w:rsid w:val="0052780F"/>
    <w:rsid w:val="0053003B"/>
    <w:rsid w:val="0053060A"/>
    <w:rsid w:val="00530D42"/>
    <w:rsid w:val="00530E2D"/>
    <w:rsid w:val="0053103C"/>
    <w:rsid w:val="005310C1"/>
    <w:rsid w:val="00531338"/>
    <w:rsid w:val="0053153F"/>
    <w:rsid w:val="00531917"/>
    <w:rsid w:val="00531B67"/>
    <w:rsid w:val="00531CC1"/>
    <w:rsid w:val="00531FE8"/>
    <w:rsid w:val="005326FB"/>
    <w:rsid w:val="00532972"/>
    <w:rsid w:val="0053316B"/>
    <w:rsid w:val="005334A5"/>
    <w:rsid w:val="00533767"/>
    <w:rsid w:val="00533A45"/>
    <w:rsid w:val="00534292"/>
    <w:rsid w:val="005352F5"/>
    <w:rsid w:val="0053535F"/>
    <w:rsid w:val="00535420"/>
    <w:rsid w:val="005354F5"/>
    <w:rsid w:val="00535E65"/>
    <w:rsid w:val="00535EBA"/>
    <w:rsid w:val="00536029"/>
    <w:rsid w:val="0053644B"/>
    <w:rsid w:val="00536960"/>
    <w:rsid w:val="00536B2E"/>
    <w:rsid w:val="00536FBE"/>
    <w:rsid w:val="00536FD9"/>
    <w:rsid w:val="00537571"/>
    <w:rsid w:val="00537740"/>
    <w:rsid w:val="00537E03"/>
    <w:rsid w:val="00540CDB"/>
    <w:rsid w:val="00540FB4"/>
    <w:rsid w:val="0054211C"/>
    <w:rsid w:val="005424C7"/>
    <w:rsid w:val="0054256B"/>
    <w:rsid w:val="00542693"/>
    <w:rsid w:val="00542777"/>
    <w:rsid w:val="00542E9A"/>
    <w:rsid w:val="00543778"/>
    <w:rsid w:val="00544789"/>
    <w:rsid w:val="00544827"/>
    <w:rsid w:val="005462C6"/>
    <w:rsid w:val="005462D5"/>
    <w:rsid w:val="00546674"/>
    <w:rsid w:val="00547CC7"/>
    <w:rsid w:val="00550155"/>
    <w:rsid w:val="0055016F"/>
    <w:rsid w:val="0055024D"/>
    <w:rsid w:val="00550785"/>
    <w:rsid w:val="0055078D"/>
    <w:rsid w:val="00550C99"/>
    <w:rsid w:val="00550D11"/>
    <w:rsid w:val="00550E6E"/>
    <w:rsid w:val="0055132D"/>
    <w:rsid w:val="005519F1"/>
    <w:rsid w:val="00551CCD"/>
    <w:rsid w:val="00551E36"/>
    <w:rsid w:val="005522D6"/>
    <w:rsid w:val="00552D2C"/>
    <w:rsid w:val="00552F48"/>
    <w:rsid w:val="00552FA2"/>
    <w:rsid w:val="00553413"/>
    <w:rsid w:val="0055377F"/>
    <w:rsid w:val="005540DB"/>
    <w:rsid w:val="00554A2F"/>
    <w:rsid w:val="00554A4E"/>
    <w:rsid w:val="00554BDC"/>
    <w:rsid w:val="0055551A"/>
    <w:rsid w:val="00555683"/>
    <w:rsid w:val="0055576A"/>
    <w:rsid w:val="005557E5"/>
    <w:rsid w:val="00555841"/>
    <w:rsid w:val="005559E4"/>
    <w:rsid w:val="00555DC0"/>
    <w:rsid w:val="005565EF"/>
    <w:rsid w:val="00556A49"/>
    <w:rsid w:val="00556A66"/>
    <w:rsid w:val="00556BB2"/>
    <w:rsid w:val="00556FC1"/>
    <w:rsid w:val="00557407"/>
    <w:rsid w:val="00557802"/>
    <w:rsid w:val="00557895"/>
    <w:rsid w:val="00557D8C"/>
    <w:rsid w:val="0056075A"/>
    <w:rsid w:val="00560794"/>
    <w:rsid w:val="0056088C"/>
    <w:rsid w:val="00560A83"/>
    <w:rsid w:val="00561131"/>
    <w:rsid w:val="00561D57"/>
    <w:rsid w:val="00561DE2"/>
    <w:rsid w:val="00561E59"/>
    <w:rsid w:val="00561E91"/>
    <w:rsid w:val="0056249A"/>
    <w:rsid w:val="005625C1"/>
    <w:rsid w:val="00562E5B"/>
    <w:rsid w:val="00562FF3"/>
    <w:rsid w:val="00563024"/>
    <w:rsid w:val="00564042"/>
    <w:rsid w:val="00564481"/>
    <w:rsid w:val="0056450E"/>
    <w:rsid w:val="0056460B"/>
    <w:rsid w:val="00564B74"/>
    <w:rsid w:val="00564DE5"/>
    <w:rsid w:val="00565DF9"/>
    <w:rsid w:val="00566282"/>
    <w:rsid w:val="0056632F"/>
    <w:rsid w:val="00566811"/>
    <w:rsid w:val="00566C33"/>
    <w:rsid w:val="005670A1"/>
    <w:rsid w:val="005671DF"/>
    <w:rsid w:val="00567EBB"/>
    <w:rsid w:val="00567EEF"/>
    <w:rsid w:val="00567F43"/>
    <w:rsid w:val="005705E9"/>
    <w:rsid w:val="00570715"/>
    <w:rsid w:val="00570A40"/>
    <w:rsid w:val="005713B1"/>
    <w:rsid w:val="0057243B"/>
    <w:rsid w:val="00573C34"/>
    <w:rsid w:val="00573E39"/>
    <w:rsid w:val="005753AE"/>
    <w:rsid w:val="0057600B"/>
    <w:rsid w:val="0057616F"/>
    <w:rsid w:val="00576A98"/>
    <w:rsid w:val="00577387"/>
    <w:rsid w:val="0057764D"/>
    <w:rsid w:val="00577798"/>
    <w:rsid w:val="00580140"/>
    <w:rsid w:val="00580184"/>
    <w:rsid w:val="00580505"/>
    <w:rsid w:val="00580725"/>
    <w:rsid w:val="00580BFA"/>
    <w:rsid w:val="00581EF9"/>
    <w:rsid w:val="005820BB"/>
    <w:rsid w:val="005828C4"/>
    <w:rsid w:val="005830C2"/>
    <w:rsid w:val="0058311E"/>
    <w:rsid w:val="00583185"/>
    <w:rsid w:val="0058347D"/>
    <w:rsid w:val="0058369E"/>
    <w:rsid w:val="00583B5A"/>
    <w:rsid w:val="00584A7B"/>
    <w:rsid w:val="00584C7E"/>
    <w:rsid w:val="00585421"/>
    <w:rsid w:val="005856C3"/>
    <w:rsid w:val="00585FD0"/>
    <w:rsid w:val="005860D0"/>
    <w:rsid w:val="005863B5"/>
    <w:rsid w:val="005863C8"/>
    <w:rsid w:val="00586FD7"/>
    <w:rsid w:val="0058754E"/>
    <w:rsid w:val="00587CF3"/>
    <w:rsid w:val="00590568"/>
    <w:rsid w:val="00590744"/>
    <w:rsid w:val="00590C31"/>
    <w:rsid w:val="00590E51"/>
    <w:rsid w:val="00591B64"/>
    <w:rsid w:val="00592004"/>
    <w:rsid w:val="0059201E"/>
    <w:rsid w:val="005922B0"/>
    <w:rsid w:val="005926F3"/>
    <w:rsid w:val="00592804"/>
    <w:rsid w:val="00592D7E"/>
    <w:rsid w:val="00593314"/>
    <w:rsid w:val="005933A6"/>
    <w:rsid w:val="00593539"/>
    <w:rsid w:val="005943C5"/>
    <w:rsid w:val="00594478"/>
    <w:rsid w:val="00594496"/>
    <w:rsid w:val="00594A01"/>
    <w:rsid w:val="00594A27"/>
    <w:rsid w:val="00594A4A"/>
    <w:rsid w:val="005955E0"/>
    <w:rsid w:val="005962AC"/>
    <w:rsid w:val="005967B1"/>
    <w:rsid w:val="005967F3"/>
    <w:rsid w:val="00597B4F"/>
    <w:rsid w:val="005A0509"/>
    <w:rsid w:val="005A18B2"/>
    <w:rsid w:val="005A1A37"/>
    <w:rsid w:val="005A1EDE"/>
    <w:rsid w:val="005A2817"/>
    <w:rsid w:val="005A2A53"/>
    <w:rsid w:val="005A3286"/>
    <w:rsid w:val="005A36B7"/>
    <w:rsid w:val="005A3A30"/>
    <w:rsid w:val="005A3D6D"/>
    <w:rsid w:val="005A56C3"/>
    <w:rsid w:val="005A58A4"/>
    <w:rsid w:val="005A5B49"/>
    <w:rsid w:val="005A69D6"/>
    <w:rsid w:val="005A6B92"/>
    <w:rsid w:val="005A6BC4"/>
    <w:rsid w:val="005A755E"/>
    <w:rsid w:val="005A7C27"/>
    <w:rsid w:val="005A7E37"/>
    <w:rsid w:val="005B0095"/>
    <w:rsid w:val="005B0BB2"/>
    <w:rsid w:val="005B0BD2"/>
    <w:rsid w:val="005B0BEE"/>
    <w:rsid w:val="005B10F7"/>
    <w:rsid w:val="005B24DF"/>
    <w:rsid w:val="005B2C57"/>
    <w:rsid w:val="005B34A9"/>
    <w:rsid w:val="005B35ED"/>
    <w:rsid w:val="005B36D2"/>
    <w:rsid w:val="005B3855"/>
    <w:rsid w:val="005B3881"/>
    <w:rsid w:val="005B3E34"/>
    <w:rsid w:val="005B477B"/>
    <w:rsid w:val="005B4873"/>
    <w:rsid w:val="005B4D50"/>
    <w:rsid w:val="005B5948"/>
    <w:rsid w:val="005B63EC"/>
    <w:rsid w:val="005B6FB0"/>
    <w:rsid w:val="005B71DD"/>
    <w:rsid w:val="005B7626"/>
    <w:rsid w:val="005B77B9"/>
    <w:rsid w:val="005B7E64"/>
    <w:rsid w:val="005C0157"/>
    <w:rsid w:val="005C09B3"/>
    <w:rsid w:val="005C0C2B"/>
    <w:rsid w:val="005C0EBB"/>
    <w:rsid w:val="005C10E1"/>
    <w:rsid w:val="005C1B98"/>
    <w:rsid w:val="005C26C9"/>
    <w:rsid w:val="005C27D5"/>
    <w:rsid w:val="005C2834"/>
    <w:rsid w:val="005C2AE3"/>
    <w:rsid w:val="005C3429"/>
    <w:rsid w:val="005C3DAB"/>
    <w:rsid w:val="005C3DCD"/>
    <w:rsid w:val="005C3F3E"/>
    <w:rsid w:val="005C3FCE"/>
    <w:rsid w:val="005C49F4"/>
    <w:rsid w:val="005C4CF9"/>
    <w:rsid w:val="005C56DE"/>
    <w:rsid w:val="005C59AD"/>
    <w:rsid w:val="005C5F77"/>
    <w:rsid w:val="005C64DD"/>
    <w:rsid w:val="005C6618"/>
    <w:rsid w:val="005C669B"/>
    <w:rsid w:val="005C706B"/>
    <w:rsid w:val="005C72F0"/>
    <w:rsid w:val="005C74AA"/>
    <w:rsid w:val="005D096D"/>
    <w:rsid w:val="005D0C39"/>
    <w:rsid w:val="005D0FA7"/>
    <w:rsid w:val="005D0FDA"/>
    <w:rsid w:val="005D1CF2"/>
    <w:rsid w:val="005D2A1A"/>
    <w:rsid w:val="005D2B81"/>
    <w:rsid w:val="005D2F12"/>
    <w:rsid w:val="005D3870"/>
    <w:rsid w:val="005D3B9F"/>
    <w:rsid w:val="005D3CB1"/>
    <w:rsid w:val="005D3E90"/>
    <w:rsid w:val="005D4F30"/>
    <w:rsid w:val="005D554E"/>
    <w:rsid w:val="005D59EE"/>
    <w:rsid w:val="005D5AFE"/>
    <w:rsid w:val="005D6212"/>
    <w:rsid w:val="005D755E"/>
    <w:rsid w:val="005D7609"/>
    <w:rsid w:val="005D7B58"/>
    <w:rsid w:val="005D7FAA"/>
    <w:rsid w:val="005E11B6"/>
    <w:rsid w:val="005E1BD1"/>
    <w:rsid w:val="005E1D04"/>
    <w:rsid w:val="005E2057"/>
    <w:rsid w:val="005E29B4"/>
    <w:rsid w:val="005E3418"/>
    <w:rsid w:val="005E3E54"/>
    <w:rsid w:val="005E3FBB"/>
    <w:rsid w:val="005E50C0"/>
    <w:rsid w:val="005E510C"/>
    <w:rsid w:val="005E5382"/>
    <w:rsid w:val="005E55B4"/>
    <w:rsid w:val="005E57FF"/>
    <w:rsid w:val="005E593C"/>
    <w:rsid w:val="005E593D"/>
    <w:rsid w:val="005E5CE2"/>
    <w:rsid w:val="005E616F"/>
    <w:rsid w:val="005E6679"/>
    <w:rsid w:val="005E6680"/>
    <w:rsid w:val="005E69CE"/>
    <w:rsid w:val="005E6EA8"/>
    <w:rsid w:val="005E6F4C"/>
    <w:rsid w:val="005E74BC"/>
    <w:rsid w:val="005E79CF"/>
    <w:rsid w:val="005F098E"/>
    <w:rsid w:val="005F0C9B"/>
    <w:rsid w:val="005F10D4"/>
    <w:rsid w:val="005F1639"/>
    <w:rsid w:val="005F1989"/>
    <w:rsid w:val="005F2011"/>
    <w:rsid w:val="005F2854"/>
    <w:rsid w:val="005F3A23"/>
    <w:rsid w:val="005F3F15"/>
    <w:rsid w:val="005F43F5"/>
    <w:rsid w:val="005F4646"/>
    <w:rsid w:val="005F498D"/>
    <w:rsid w:val="005F554A"/>
    <w:rsid w:val="005F5A45"/>
    <w:rsid w:val="005F5F5E"/>
    <w:rsid w:val="005F6025"/>
    <w:rsid w:val="005F605C"/>
    <w:rsid w:val="005F640E"/>
    <w:rsid w:val="005F6D6B"/>
    <w:rsid w:val="005F78C9"/>
    <w:rsid w:val="0060010A"/>
    <w:rsid w:val="0060143F"/>
    <w:rsid w:val="0060170E"/>
    <w:rsid w:val="006017ED"/>
    <w:rsid w:val="006020E6"/>
    <w:rsid w:val="006024BC"/>
    <w:rsid w:val="0060305C"/>
    <w:rsid w:val="00603060"/>
    <w:rsid w:val="0060369D"/>
    <w:rsid w:val="00603B22"/>
    <w:rsid w:val="00603C12"/>
    <w:rsid w:val="00603FD5"/>
    <w:rsid w:val="006041CA"/>
    <w:rsid w:val="00604417"/>
    <w:rsid w:val="006044C5"/>
    <w:rsid w:val="00604A34"/>
    <w:rsid w:val="006055D6"/>
    <w:rsid w:val="00605CB4"/>
    <w:rsid w:val="00606314"/>
    <w:rsid w:val="006063C0"/>
    <w:rsid w:val="006069B9"/>
    <w:rsid w:val="00607743"/>
    <w:rsid w:val="00607CF2"/>
    <w:rsid w:val="00607EBE"/>
    <w:rsid w:val="0061054C"/>
    <w:rsid w:val="00610C33"/>
    <w:rsid w:val="0061155F"/>
    <w:rsid w:val="006116C1"/>
    <w:rsid w:val="00611C3F"/>
    <w:rsid w:val="006127A8"/>
    <w:rsid w:val="00612C4B"/>
    <w:rsid w:val="00612C5D"/>
    <w:rsid w:val="00612E49"/>
    <w:rsid w:val="00612EF9"/>
    <w:rsid w:val="006133E2"/>
    <w:rsid w:val="00613AB8"/>
    <w:rsid w:val="00613C2D"/>
    <w:rsid w:val="00613FAA"/>
    <w:rsid w:val="0061491F"/>
    <w:rsid w:val="00614E5D"/>
    <w:rsid w:val="00615CA2"/>
    <w:rsid w:val="00615CF1"/>
    <w:rsid w:val="0061627C"/>
    <w:rsid w:val="00616DC8"/>
    <w:rsid w:val="0061759D"/>
    <w:rsid w:val="006203FE"/>
    <w:rsid w:val="006210C6"/>
    <w:rsid w:val="0062114A"/>
    <w:rsid w:val="00621154"/>
    <w:rsid w:val="006213B1"/>
    <w:rsid w:val="006215B7"/>
    <w:rsid w:val="006217B6"/>
    <w:rsid w:val="006219F4"/>
    <w:rsid w:val="00622259"/>
    <w:rsid w:val="00622349"/>
    <w:rsid w:val="00622516"/>
    <w:rsid w:val="006229E2"/>
    <w:rsid w:val="00622FE8"/>
    <w:rsid w:val="00623F75"/>
    <w:rsid w:val="00624164"/>
    <w:rsid w:val="0062430E"/>
    <w:rsid w:val="00624D6E"/>
    <w:rsid w:val="00624E21"/>
    <w:rsid w:val="00624EB5"/>
    <w:rsid w:val="00625656"/>
    <w:rsid w:val="00625AEB"/>
    <w:rsid w:val="006261F9"/>
    <w:rsid w:val="00626884"/>
    <w:rsid w:val="00626A32"/>
    <w:rsid w:val="00627339"/>
    <w:rsid w:val="006275EE"/>
    <w:rsid w:val="00627D04"/>
    <w:rsid w:val="0063022F"/>
    <w:rsid w:val="006302DC"/>
    <w:rsid w:val="00630ECB"/>
    <w:rsid w:val="006315ED"/>
    <w:rsid w:val="00632460"/>
    <w:rsid w:val="00632651"/>
    <w:rsid w:val="00632B69"/>
    <w:rsid w:val="00632C8F"/>
    <w:rsid w:val="00633976"/>
    <w:rsid w:val="00633A8C"/>
    <w:rsid w:val="0063404B"/>
    <w:rsid w:val="0063426D"/>
    <w:rsid w:val="00634C24"/>
    <w:rsid w:val="00634F54"/>
    <w:rsid w:val="00635230"/>
    <w:rsid w:val="00635774"/>
    <w:rsid w:val="00635D2E"/>
    <w:rsid w:val="00635FB6"/>
    <w:rsid w:val="00636070"/>
    <w:rsid w:val="00636117"/>
    <w:rsid w:val="0063624C"/>
    <w:rsid w:val="006367C5"/>
    <w:rsid w:val="00636CD5"/>
    <w:rsid w:val="00637296"/>
    <w:rsid w:val="0063792C"/>
    <w:rsid w:val="00637B1F"/>
    <w:rsid w:val="00637D71"/>
    <w:rsid w:val="006403ED"/>
    <w:rsid w:val="00640601"/>
    <w:rsid w:val="006407F5"/>
    <w:rsid w:val="00640DF1"/>
    <w:rsid w:val="00641081"/>
    <w:rsid w:val="00641AE0"/>
    <w:rsid w:val="00642013"/>
    <w:rsid w:val="006422FA"/>
    <w:rsid w:val="00642761"/>
    <w:rsid w:val="0064279B"/>
    <w:rsid w:val="006427AC"/>
    <w:rsid w:val="0064335A"/>
    <w:rsid w:val="00643716"/>
    <w:rsid w:val="0064373A"/>
    <w:rsid w:val="00643761"/>
    <w:rsid w:val="00643ADD"/>
    <w:rsid w:val="0064422B"/>
    <w:rsid w:val="00644819"/>
    <w:rsid w:val="00644D0D"/>
    <w:rsid w:val="00644FE5"/>
    <w:rsid w:val="00644FEC"/>
    <w:rsid w:val="00645C3B"/>
    <w:rsid w:val="006462C7"/>
    <w:rsid w:val="00646E8F"/>
    <w:rsid w:val="00647A50"/>
    <w:rsid w:val="00647AFD"/>
    <w:rsid w:val="00647F33"/>
    <w:rsid w:val="00651FCB"/>
    <w:rsid w:val="00652E27"/>
    <w:rsid w:val="00652FC4"/>
    <w:rsid w:val="00653064"/>
    <w:rsid w:val="00653460"/>
    <w:rsid w:val="00653F01"/>
    <w:rsid w:val="006540D2"/>
    <w:rsid w:val="0065424E"/>
    <w:rsid w:val="0065434D"/>
    <w:rsid w:val="006544EB"/>
    <w:rsid w:val="006545AE"/>
    <w:rsid w:val="00654A17"/>
    <w:rsid w:val="00654DE8"/>
    <w:rsid w:val="00654F7C"/>
    <w:rsid w:val="0065557A"/>
    <w:rsid w:val="00655F8F"/>
    <w:rsid w:val="006560B9"/>
    <w:rsid w:val="006560D8"/>
    <w:rsid w:val="00656BA2"/>
    <w:rsid w:val="00656C29"/>
    <w:rsid w:val="006572C0"/>
    <w:rsid w:val="0065767C"/>
    <w:rsid w:val="006601E8"/>
    <w:rsid w:val="006602DE"/>
    <w:rsid w:val="00660594"/>
    <w:rsid w:val="006609EF"/>
    <w:rsid w:val="00660AB1"/>
    <w:rsid w:val="00660B73"/>
    <w:rsid w:val="00660C0D"/>
    <w:rsid w:val="0066114E"/>
    <w:rsid w:val="00661359"/>
    <w:rsid w:val="006613E1"/>
    <w:rsid w:val="00661607"/>
    <w:rsid w:val="00661DE2"/>
    <w:rsid w:val="006621E7"/>
    <w:rsid w:val="006625F3"/>
    <w:rsid w:val="00662765"/>
    <w:rsid w:val="00662834"/>
    <w:rsid w:val="006636AF"/>
    <w:rsid w:val="00663735"/>
    <w:rsid w:val="00663F8A"/>
    <w:rsid w:val="0066438F"/>
    <w:rsid w:val="006647F7"/>
    <w:rsid w:val="0066487D"/>
    <w:rsid w:val="00664E47"/>
    <w:rsid w:val="00665124"/>
    <w:rsid w:val="00665561"/>
    <w:rsid w:val="00665AF1"/>
    <w:rsid w:val="00665C1B"/>
    <w:rsid w:val="00666174"/>
    <w:rsid w:val="0066641B"/>
    <w:rsid w:val="00666607"/>
    <w:rsid w:val="006666F2"/>
    <w:rsid w:val="00666C5B"/>
    <w:rsid w:val="00666D82"/>
    <w:rsid w:val="006671A8"/>
    <w:rsid w:val="00667A20"/>
    <w:rsid w:val="00667B4E"/>
    <w:rsid w:val="006702A3"/>
    <w:rsid w:val="0067042C"/>
    <w:rsid w:val="00670D64"/>
    <w:rsid w:val="006717D7"/>
    <w:rsid w:val="00671B08"/>
    <w:rsid w:val="006725BA"/>
    <w:rsid w:val="00672DD9"/>
    <w:rsid w:val="00672F05"/>
    <w:rsid w:val="006732F9"/>
    <w:rsid w:val="006735B9"/>
    <w:rsid w:val="00674C35"/>
    <w:rsid w:val="00674D1F"/>
    <w:rsid w:val="006758AA"/>
    <w:rsid w:val="00675D4F"/>
    <w:rsid w:val="00676135"/>
    <w:rsid w:val="006761E8"/>
    <w:rsid w:val="0067646D"/>
    <w:rsid w:val="00676BFD"/>
    <w:rsid w:val="00676D56"/>
    <w:rsid w:val="00677AF8"/>
    <w:rsid w:val="00677CCD"/>
    <w:rsid w:val="00677DCC"/>
    <w:rsid w:val="00677F81"/>
    <w:rsid w:val="00680256"/>
    <w:rsid w:val="0068029B"/>
    <w:rsid w:val="00680A62"/>
    <w:rsid w:val="00681726"/>
    <w:rsid w:val="00681D00"/>
    <w:rsid w:val="0068269C"/>
    <w:rsid w:val="00682744"/>
    <w:rsid w:val="006827B8"/>
    <w:rsid w:val="00682984"/>
    <w:rsid w:val="006829D2"/>
    <w:rsid w:val="00684301"/>
    <w:rsid w:val="00684E90"/>
    <w:rsid w:val="006859A7"/>
    <w:rsid w:val="00686B0A"/>
    <w:rsid w:val="00686CE8"/>
    <w:rsid w:val="0068724F"/>
    <w:rsid w:val="006872E8"/>
    <w:rsid w:val="0068768E"/>
    <w:rsid w:val="00687705"/>
    <w:rsid w:val="006878FE"/>
    <w:rsid w:val="00687B85"/>
    <w:rsid w:val="00687D8A"/>
    <w:rsid w:val="006901EA"/>
    <w:rsid w:val="006904D4"/>
    <w:rsid w:val="00690C48"/>
    <w:rsid w:val="00690C62"/>
    <w:rsid w:val="006910EC"/>
    <w:rsid w:val="00691411"/>
    <w:rsid w:val="00691644"/>
    <w:rsid w:val="00691E52"/>
    <w:rsid w:val="006924C8"/>
    <w:rsid w:val="006927CB"/>
    <w:rsid w:val="0069295D"/>
    <w:rsid w:val="00692EAC"/>
    <w:rsid w:val="00692F67"/>
    <w:rsid w:val="006936E6"/>
    <w:rsid w:val="00693D26"/>
    <w:rsid w:val="006942F2"/>
    <w:rsid w:val="00694373"/>
    <w:rsid w:val="0069451A"/>
    <w:rsid w:val="00694557"/>
    <w:rsid w:val="006945D3"/>
    <w:rsid w:val="00694A37"/>
    <w:rsid w:val="00694CF2"/>
    <w:rsid w:val="00694D52"/>
    <w:rsid w:val="006951C8"/>
    <w:rsid w:val="006958D8"/>
    <w:rsid w:val="006960AF"/>
    <w:rsid w:val="0069661B"/>
    <w:rsid w:val="00696A6B"/>
    <w:rsid w:val="00697687"/>
    <w:rsid w:val="006978B5"/>
    <w:rsid w:val="00697D0A"/>
    <w:rsid w:val="006A0606"/>
    <w:rsid w:val="006A065E"/>
    <w:rsid w:val="006A10AD"/>
    <w:rsid w:val="006A1608"/>
    <w:rsid w:val="006A1883"/>
    <w:rsid w:val="006A19B5"/>
    <w:rsid w:val="006A1AED"/>
    <w:rsid w:val="006A1D66"/>
    <w:rsid w:val="006A1DEF"/>
    <w:rsid w:val="006A2525"/>
    <w:rsid w:val="006A2629"/>
    <w:rsid w:val="006A27F2"/>
    <w:rsid w:val="006A282B"/>
    <w:rsid w:val="006A3075"/>
    <w:rsid w:val="006A3688"/>
    <w:rsid w:val="006A37A3"/>
    <w:rsid w:val="006A3A45"/>
    <w:rsid w:val="006A428F"/>
    <w:rsid w:val="006A42CF"/>
    <w:rsid w:val="006A444C"/>
    <w:rsid w:val="006A4813"/>
    <w:rsid w:val="006A496E"/>
    <w:rsid w:val="006A4B04"/>
    <w:rsid w:val="006A4CEE"/>
    <w:rsid w:val="006A5213"/>
    <w:rsid w:val="006A536A"/>
    <w:rsid w:val="006A5755"/>
    <w:rsid w:val="006A5917"/>
    <w:rsid w:val="006A6262"/>
    <w:rsid w:val="006A6FD7"/>
    <w:rsid w:val="006B03CA"/>
    <w:rsid w:val="006B08B3"/>
    <w:rsid w:val="006B0C26"/>
    <w:rsid w:val="006B167D"/>
    <w:rsid w:val="006B19A9"/>
    <w:rsid w:val="006B20D9"/>
    <w:rsid w:val="006B21A0"/>
    <w:rsid w:val="006B2360"/>
    <w:rsid w:val="006B243C"/>
    <w:rsid w:val="006B4B09"/>
    <w:rsid w:val="006B57B7"/>
    <w:rsid w:val="006B5B39"/>
    <w:rsid w:val="006B5E2C"/>
    <w:rsid w:val="006B602F"/>
    <w:rsid w:val="006B6056"/>
    <w:rsid w:val="006B65AE"/>
    <w:rsid w:val="006B6628"/>
    <w:rsid w:val="006B6B45"/>
    <w:rsid w:val="006B6C6E"/>
    <w:rsid w:val="006B7BCE"/>
    <w:rsid w:val="006B7C57"/>
    <w:rsid w:val="006B7DE0"/>
    <w:rsid w:val="006B7FDE"/>
    <w:rsid w:val="006C02C1"/>
    <w:rsid w:val="006C096B"/>
    <w:rsid w:val="006C0E2F"/>
    <w:rsid w:val="006C11DC"/>
    <w:rsid w:val="006C123F"/>
    <w:rsid w:val="006C137C"/>
    <w:rsid w:val="006C1704"/>
    <w:rsid w:val="006C184A"/>
    <w:rsid w:val="006C1DA5"/>
    <w:rsid w:val="006C220E"/>
    <w:rsid w:val="006C265E"/>
    <w:rsid w:val="006C2A13"/>
    <w:rsid w:val="006C2A7D"/>
    <w:rsid w:val="006C2A9C"/>
    <w:rsid w:val="006C31AA"/>
    <w:rsid w:val="006C3226"/>
    <w:rsid w:val="006C3508"/>
    <w:rsid w:val="006C36EC"/>
    <w:rsid w:val="006C3820"/>
    <w:rsid w:val="006C3BB0"/>
    <w:rsid w:val="006C3E3D"/>
    <w:rsid w:val="006C44CD"/>
    <w:rsid w:val="006C472F"/>
    <w:rsid w:val="006C4ADB"/>
    <w:rsid w:val="006C4AF4"/>
    <w:rsid w:val="006C4C2E"/>
    <w:rsid w:val="006C4F3D"/>
    <w:rsid w:val="006C6385"/>
    <w:rsid w:val="006C6868"/>
    <w:rsid w:val="006C6C38"/>
    <w:rsid w:val="006C6ECE"/>
    <w:rsid w:val="006C734B"/>
    <w:rsid w:val="006C73EC"/>
    <w:rsid w:val="006C7492"/>
    <w:rsid w:val="006C75F7"/>
    <w:rsid w:val="006D05AA"/>
    <w:rsid w:val="006D0C21"/>
    <w:rsid w:val="006D2647"/>
    <w:rsid w:val="006D2698"/>
    <w:rsid w:val="006D31A2"/>
    <w:rsid w:val="006D3F2F"/>
    <w:rsid w:val="006D4303"/>
    <w:rsid w:val="006D4D3C"/>
    <w:rsid w:val="006D5545"/>
    <w:rsid w:val="006D5C9D"/>
    <w:rsid w:val="006D64AD"/>
    <w:rsid w:val="006D64FB"/>
    <w:rsid w:val="006D6F41"/>
    <w:rsid w:val="006D7323"/>
    <w:rsid w:val="006D7D85"/>
    <w:rsid w:val="006E0388"/>
    <w:rsid w:val="006E0692"/>
    <w:rsid w:val="006E08DA"/>
    <w:rsid w:val="006E09F7"/>
    <w:rsid w:val="006E0C4E"/>
    <w:rsid w:val="006E1A04"/>
    <w:rsid w:val="006E2022"/>
    <w:rsid w:val="006E2F63"/>
    <w:rsid w:val="006E3061"/>
    <w:rsid w:val="006E3536"/>
    <w:rsid w:val="006E3BA1"/>
    <w:rsid w:val="006E40F2"/>
    <w:rsid w:val="006E426C"/>
    <w:rsid w:val="006E42C2"/>
    <w:rsid w:val="006E4451"/>
    <w:rsid w:val="006E446B"/>
    <w:rsid w:val="006E47A4"/>
    <w:rsid w:val="006E5109"/>
    <w:rsid w:val="006E56E8"/>
    <w:rsid w:val="006E5748"/>
    <w:rsid w:val="006E6215"/>
    <w:rsid w:val="006E6513"/>
    <w:rsid w:val="006E6674"/>
    <w:rsid w:val="006E682B"/>
    <w:rsid w:val="006E6852"/>
    <w:rsid w:val="006E6AEC"/>
    <w:rsid w:val="006E6CBF"/>
    <w:rsid w:val="006E6F72"/>
    <w:rsid w:val="006E749B"/>
    <w:rsid w:val="006F0354"/>
    <w:rsid w:val="006F0C62"/>
    <w:rsid w:val="006F13EC"/>
    <w:rsid w:val="006F27A1"/>
    <w:rsid w:val="006F28D0"/>
    <w:rsid w:val="006F3B49"/>
    <w:rsid w:val="006F3CD2"/>
    <w:rsid w:val="006F41CC"/>
    <w:rsid w:val="006F4DC8"/>
    <w:rsid w:val="006F535A"/>
    <w:rsid w:val="006F5654"/>
    <w:rsid w:val="006F63E6"/>
    <w:rsid w:val="006F70F4"/>
    <w:rsid w:val="006F754D"/>
    <w:rsid w:val="006F7B76"/>
    <w:rsid w:val="006F7DFF"/>
    <w:rsid w:val="006F7FED"/>
    <w:rsid w:val="007002A3"/>
    <w:rsid w:val="00700541"/>
    <w:rsid w:val="007006E7"/>
    <w:rsid w:val="0070086C"/>
    <w:rsid w:val="0070089B"/>
    <w:rsid w:val="007009EF"/>
    <w:rsid w:val="00700D62"/>
    <w:rsid w:val="0070112B"/>
    <w:rsid w:val="007015C7"/>
    <w:rsid w:val="00701609"/>
    <w:rsid w:val="00701F8C"/>
    <w:rsid w:val="00701FB2"/>
    <w:rsid w:val="00702092"/>
    <w:rsid w:val="00702406"/>
    <w:rsid w:val="00702EFF"/>
    <w:rsid w:val="007030AE"/>
    <w:rsid w:val="00703183"/>
    <w:rsid w:val="00703B06"/>
    <w:rsid w:val="00703B5F"/>
    <w:rsid w:val="00703B70"/>
    <w:rsid w:val="00703F80"/>
    <w:rsid w:val="0070406E"/>
    <w:rsid w:val="00704102"/>
    <w:rsid w:val="00704EC9"/>
    <w:rsid w:val="00704F8D"/>
    <w:rsid w:val="007056FA"/>
    <w:rsid w:val="00705BE1"/>
    <w:rsid w:val="00705D56"/>
    <w:rsid w:val="00706725"/>
    <w:rsid w:val="0070712B"/>
    <w:rsid w:val="007072B6"/>
    <w:rsid w:val="007074FE"/>
    <w:rsid w:val="00707592"/>
    <w:rsid w:val="00707DDC"/>
    <w:rsid w:val="0071059F"/>
    <w:rsid w:val="0071060F"/>
    <w:rsid w:val="00711018"/>
    <w:rsid w:val="00711108"/>
    <w:rsid w:val="00711DE3"/>
    <w:rsid w:val="00712429"/>
    <w:rsid w:val="00712932"/>
    <w:rsid w:val="00712C39"/>
    <w:rsid w:val="007131B6"/>
    <w:rsid w:val="00713894"/>
    <w:rsid w:val="00713A1B"/>
    <w:rsid w:val="00713ADB"/>
    <w:rsid w:val="00713EC8"/>
    <w:rsid w:val="00714488"/>
    <w:rsid w:val="0071469B"/>
    <w:rsid w:val="007152A5"/>
    <w:rsid w:val="00715CDA"/>
    <w:rsid w:val="007169ED"/>
    <w:rsid w:val="00716E7D"/>
    <w:rsid w:val="00717347"/>
    <w:rsid w:val="007174AF"/>
    <w:rsid w:val="007176FD"/>
    <w:rsid w:val="00720887"/>
    <w:rsid w:val="00720FAC"/>
    <w:rsid w:val="007225B0"/>
    <w:rsid w:val="007227FE"/>
    <w:rsid w:val="007228AB"/>
    <w:rsid w:val="00722A3C"/>
    <w:rsid w:val="00722A95"/>
    <w:rsid w:val="00723472"/>
    <w:rsid w:val="00723C86"/>
    <w:rsid w:val="00723D64"/>
    <w:rsid w:val="00724218"/>
    <w:rsid w:val="007242B5"/>
    <w:rsid w:val="0072455F"/>
    <w:rsid w:val="00724EF3"/>
    <w:rsid w:val="00725416"/>
    <w:rsid w:val="00725581"/>
    <w:rsid w:val="00725C40"/>
    <w:rsid w:val="00726398"/>
    <w:rsid w:val="0072682E"/>
    <w:rsid w:val="00726D56"/>
    <w:rsid w:val="00726ED8"/>
    <w:rsid w:val="0072723F"/>
    <w:rsid w:val="00727275"/>
    <w:rsid w:val="007276EF"/>
    <w:rsid w:val="00727B98"/>
    <w:rsid w:val="00730498"/>
    <w:rsid w:val="00730734"/>
    <w:rsid w:val="00730BF8"/>
    <w:rsid w:val="00731564"/>
    <w:rsid w:val="0073171F"/>
    <w:rsid w:val="00731943"/>
    <w:rsid w:val="0073260B"/>
    <w:rsid w:val="00732AA7"/>
    <w:rsid w:val="00732B0D"/>
    <w:rsid w:val="00732B9B"/>
    <w:rsid w:val="00733322"/>
    <w:rsid w:val="007336AF"/>
    <w:rsid w:val="00733C43"/>
    <w:rsid w:val="007340F7"/>
    <w:rsid w:val="0073688B"/>
    <w:rsid w:val="00736B7B"/>
    <w:rsid w:val="00736E8D"/>
    <w:rsid w:val="00737096"/>
    <w:rsid w:val="007376DD"/>
    <w:rsid w:val="00737A1E"/>
    <w:rsid w:val="00737D73"/>
    <w:rsid w:val="00737DC5"/>
    <w:rsid w:val="00737E8C"/>
    <w:rsid w:val="00737EFB"/>
    <w:rsid w:val="007400BF"/>
    <w:rsid w:val="007402CF"/>
    <w:rsid w:val="0074045B"/>
    <w:rsid w:val="00740A23"/>
    <w:rsid w:val="00740A4F"/>
    <w:rsid w:val="00742862"/>
    <w:rsid w:val="007428A0"/>
    <w:rsid w:val="00743298"/>
    <w:rsid w:val="00743FA7"/>
    <w:rsid w:val="00743FE0"/>
    <w:rsid w:val="007444F4"/>
    <w:rsid w:val="0074466D"/>
    <w:rsid w:val="007448F8"/>
    <w:rsid w:val="0074492B"/>
    <w:rsid w:val="00744B66"/>
    <w:rsid w:val="00744C30"/>
    <w:rsid w:val="00745FF2"/>
    <w:rsid w:val="00746A50"/>
    <w:rsid w:val="00746DB2"/>
    <w:rsid w:val="00747C52"/>
    <w:rsid w:val="00750088"/>
    <w:rsid w:val="007500A8"/>
    <w:rsid w:val="00750578"/>
    <w:rsid w:val="00750E4A"/>
    <w:rsid w:val="00752437"/>
    <w:rsid w:val="007526A2"/>
    <w:rsid w:val="007530B4"/>
    <w:rsid w:val="00753E62"/>
    <w:rsid w:val="00754993"/>
    <w:rsid w:val="00754AB0"/>
    <w:rsid w:val="00755159"/>
    <w:rsid w:val="0075516B"/>
    <w:rsid w:val="00755223"/>
    <w:rsid w:val="007563C5"/>
    <w:rsid w:val="00756B9D"/>
    <w:rsid w:val="00757086"/>
    <w:rsid w:val="00757153"/>
    <w:rsid w:val="007572D8"/>
    <w:rsid w:val="00757840"/>
    <w:rsid w:val="007602FD"/>
    <w:rsid w:val="0076044F"/>
    <w:rsid w:val="00760821"/>
    <w:rsid w:val="00760AA0"/>
    <w:rsid w:val="00760C8A"/>
    <w:rsid w:val="00760CAA"/>
    <w:rsid w:val="0076111B"/>
    <w:rsid w:val="00761868"/>
    <w:rsid w:val="00761D88"/>
    <w:rsid w:val="00761E94"/>
    <w:rsid w:val="00762256"/>
    <w:rsid w:val="0076273D"/>
    <w:rsid w:val="00763B6A"/>
    <w:rsid w:val="00763C8A"/>
    <w:rsid w:val="00763E72"/>
    <w:rsid w:val="00764A74"/>
    <w:rsid w:val="00764AA0"/>
    <w:rsid w:val="00764AFB"/>
    <w:rsid w:val="00764BA6"/>
    <w:rsid w:val="007651E4"/>
    <w:rsid w:val="00765A87"/>
    <w:rsid w:val="00765FD0"/>
    <w:rsid w:val="007665E3"/>
    <w:rsid w:val="007666B3"/>
    <w:rsid w:val="0076769F"/>
    <w:rsid w:val="00767775"/>
    <w:rsid w:val="007678E5"/>
    <w:rsid w:val="00767F06"/>
    <w:rsid w:val="00770268"/>
    <w:rsid w:val="0077054D"/>
    <w:rsid w:val="0077208C"/>
    <w:rsid w:val="00772288"/>
    <w:rsid w:val="007724DD"/>
    <w:rsid w:val="0077253B"/>
    <w:rsid w:val="00772876"/>
    <w:rsid w:val="007732DC"/>
    <w:rsid w:val="00773396"/>
    <w:rsid w:val="00773571"/>
    <w:rsid w:val="007736D0"/>
    <w:rsid w:val="00773A5B"/>
    <w:rsid w:val="00773B6E"/>
    <w:rsid w:val="00774585"/>
    <w:rsid w:val="007748E1"/>
    <w:rsid w:val="00774942"/>
    <w:rsid w:val="00774CF8"/>
    <w:rsid w:val="00775256"/>
    <w:rsid w:val="00775A02"/>
    <w:rsid w:val="00775E07"/>
    <w:rsid w:val="007764E1"/>
    <w:rsid w:val="00776CD7"/>
    <w:rsid w:val="00776EEF"/>
    <w:rsid w:val="007771F9"/>
    <w:rsid w:val="00777B05"/>
    <w:rsid w:val="00777F17"/>
    <w:rsid w:val="0078016F"/>
    <w:rsid w:val="007805D7"/>
    <w:rsid w:val="007806C2"/>
    <w:rsid w:val="00780D89"/>
    <w:rsid w:val="00781148"/>
    <w:rsid w:val="00781434"/>
    <w:rsid w:val="007816B7"/>
    <w:rsid w:val="007820C2"/>
    <w:rsid w:val="00782220"/>
    <w:rsid w:val="00782399"/>
    <w:rsid w:val="0078240D"/>
    <w:rsid w:val="007829B5"/>
    <w:rsid w:val="00782E58"/>
    <w:rsid w:val="00783604"/>
    <w:rsid w:val="007839AF"/>
    <w:rsid w:val="00783CF9"/>
    <w:rsid w:val="00783EE0"/>
    <w:rsid w:val="00784341"/>
    <w:rsid w:val="00784840"/>
    <w:rsid w:val="00784D10"/>
    <w:rsid w:val="00784D31"/>
    <w:rsid w:val="0078588D"/>
    <w:rsid w:val="00785CF6"/>
    <w:rsid w:val="007862E5"/>
    <w:rsid w:val="007877B5"/>
    <w:rsid w:val="00790954"/>
    <w:rsid w:val="00790B41"/>
    <w:rsid w:val="00790B85"/>
    <w:rsid w:val="00790C3B"/>
    <w:rsid w:val="00790E98"/>
    <w:rsid w:val="00791287"/>
    <w:rsid w:val="00791916"/>
    <w:rsid w:val="007923E9"/>
    <w:rsid w:val="00792DEA"/>
    <w:rsid w:val="00792F8E"/>
    <w:rsid w:val="007932B9"/>
    <w:rsid w:val="00794773"/>
    <w:rsid w:val="00794BF1"/>
    <w:rsid w:val="00794F16"/>
    <w:rsid w:val="00795571"/>
    <w:rsid w:val="00795608"/>
    <w:rsid w:val="00795639"/>
    <w:rsid w:val="00795DEF"/>
    <w:rsid w:val="00797115"/>
    <w:rsid w:val="007A0363"/>
    <w:rsid w:val="007A0495"/>
    <w:rsid w:val="007A061C"/>
    <w:rsid w:val="007A125F"/>
    <w:rsid w:val="007A17FE"/>
    <w:rsid w:val="007A1D27"/>
    <w:rsid w:val="007A2618"/>
    <w:rsid w:val="007A2886"/>
    <w:rsid w:val="007A409D"/>
    <w:rsid w:val="007A4B52"/>
    <w:rsid w:val="007A4E09"/>
    <w:rsid w:val="007A4FCF"/>
    <w:rsid w:val="007A5DA2"/>
    <w:rsid w:val="007A74EA"/>
    <w:rsid w:val="007A79B0"/>
    <w:rsid w:val="007A7AA6"/>
    <w:rsid w:val="007B0195"/>
    <w:rsid w:val="007B0AB6"/>
    <w:rsid w:val="007B0D34"/>
    <w:rsid w:val="007B14FC"/>
    <w:rsid w:val="007B1531"/>
    <w:rsid w:val="007B1B4E"/>
    <w:rsid w:val="007B1F4F"/>
    <w:rsid w:val="007B236D"/>
    <w:rsid w:val="007B27FE"/>
    <w:rsid w:val="007B286B"/>
    <w:rsid w:val="007B29C4"/>
    <w:rsid w:val="007B2E85"/>
    <w:rsid w:val="007B2F2B"/>
    <w:rsid w:val="007B3D73"/>
    <w:rsid w:val="007B451D"/>
    <w:rsid w:val="007B45BC"/>
    <w:rsid w:val="007B502E"/>
    <w:rsid w:val="007B55A3"/>
    <w:rsid w:val="007B5AF5"/>
    <w:rsid w:val="007B5BE6"/>
    <w:rsid w:val="007B5FD3"/>
    <w:rsid w:val="007B60ED"/>
    <w:rsid w:val="007B698E"/>
    <w:rsid w:val="007B6E35"/>
    <w:rsid w:val="007B79A2"/>
    <w:rsid w:val="007B79D2"/>
    <w:rsid w:val="007B7D06"/>
    <w:rsid w:val="007C03C0"/>
    <w:rsid w:val="007C14C1"/>
    <w:rsid w:val="007C1526"/>
    <w:rsid w:val="007C19E4"/>
    <w:rsid w:val="007C254F"/>
    <w:rsid w:val="007C2A43"/>
    <w:rsid w:val="007C2C6F"/>
    <w:rsid w:val="007C2DEF"/>
    <w:rsid w:val="007C35AD"/>
    <w:rsid w:val="007C3911"/>
    <w:rsid w:val="007C3A97"/>
    <w:rsid w:val="007C3D2C"/>
    <w:rsid w:val="007C3EAF"/>
    <w:rsid w:val="007C40B6"/>
    <w:rsid w:val="007C4D8F"/>
    <w:rsid w:val="007C4F39"/>
    <w:rsid w:val="007C5593"/>
    <w:rsid w:val="007C5A29"/>
    <w:rsid w:val="007C5DF8"/>
    <w:rsid w:val="007C630C"/>
    <w:rsid w:val="007C64A3"/>
    <w:rsid w:val="007C72A1"/>
    <w:rsid w:val="007C7468"/>
    <w:rsid w:val="007C7A0D"/>
    <w:rsid w:val="007C7AD3"/>
    <w:rsid w:val="007C7BB9"/>
    <w:rsid w:val="007C7F3D"/>
    <w:rsid w:val="007D0861"/>
    <w:rsid w:val="007D08FA"/>
    <w:rsid w:val="007D096C"/>
    <w:rsid w:val="007D0EDE"/>
    <w:rsid w:val="007D19D6"/>
    <w:rsid w:val="007D1CF8"/>
    <w:rsid w:val="007D20F0"/>
    <w:rsid w:val="007D2207"/>
    <w:rsid w:val="007D2588"/>
    <w:rsid w:val="007D29F3"/>
    <w:rsid w:val="007D2F18"/>
    <w:rsid w:val="007D33B7"/>
    <w:rsid w:val="007D35D2"/>
    <w:rsid w:val="007D35DE"/>
    <w:rsid w:val="007D405F"/>
    <w:rsid w:val="007D408F"/>
    <w:rsid w:val="007D441F"/>
    <w:rsid w:val="007D49D3"/>
    <w:rsid w:val="007D5231"/>
    <w:rsid w:val="007D5338"/>
    <w:rsid w:val="007D543F"/>
    <w:rsid w:val="007D5B25"/>
    <w:rsid w:val="007D60C8"/>
    <w:rsid w:val="007D6514"/>
    <w:rsid w:val="007D6FF8"/>
    <w:rsid w:val="007D73C8"/>
    <w:rsid w:val="007D7D61"/>
    <w:rsid w:val="007D7F2C"/>
    <w:rsid w:val="007E004E"/>
    <w:rsid w:val="007E01F1"/>
    <w:rsid w:val="007E09A5"/>
    <w:rsid w:val="007E15A3"/>
    <w:rsid w:val="007E1B9D"/>
    <w:rsid w:val="007E1D76"/>
    <w:rsid w:val="007E281C"/>
    <w:rsid w:val="007E3066"/>
    <w:rsid w:val="007E34EB"/>
    <w:rsid w:val="007E368E"/>
    <w:rsid w:val="007E40BD"/>
    <w:rsid w:val="007E40FD"/>
    <w:rsid w:val="007E5011"/>
    <w:rsid w:val="007E5451"/>
    <w:rsid w:val="007E5454"/>
    <w:rsid w:val="007E591E"/>
    <w:rsid w:val="007E5940"/>
    <w:rsid w:val="007E5C98"/>
    <w:rsid w:val="007E5D77"/>
    <w:rsid w:val="007E6753"/>
    <w:rsid w:val="007E79B4"/>
    <w:rsid w:val="007F07D6"/>
    <w:rsid w:val="007F1576"/>
    <w:rsid w:val="007F17E6"/>
    <w:rsid w:val="007F1E94"/>
    <w:rsid w:val="007F2260"/>
    <w:rsid w:val="007F2952"/>
    <w:rsid w:val="007F408C"/>
    <w:rsid w:val="007F4480"/>
    <w:rsid w:val="007F48DB"/>
    <w:rsid w:val="007F4A22"/>
    <w:rsid w:val="007F4CB5"/>
    <w:rsid w:val="007F4D73"/>
    <w:rsid w:val="007F5647"/>
    <w:rsid w:val="007F5A00"/>
    <w:rsid w:val="007F5AC6"/>
    <w:rsid w:val="007F61D8"/>
    <w:rsid w:val="007F647C"/>
    <w:rsid w:val="007F6482"/>
    <w:rsid w:val="007F6EF2"/>
    <w:rsid w:val="008009CE"/>
    <w:rsid w:val="00800FD6"/>
    <w:rsid w:val="0080116E"/>
    <w:rsid w:val="00801763"/>
    <w:rsid w:val="00801963"/>
    <w:rsid w:val="00801E5B"/>
    <w:rsid w:val="0080212F"/>
    <w:rsid w:val="008032F1"/>
    <w:rsid w:val="0080355D"/>
    <w:rsid w:val="0080381D"/>
    <w:rsid w:val="00803FE4"/>
    <w:rsid w:val="00804082"/>
    <w:rsid w:val="00804DF2"/>
    <w:rsid w:val="00805A73"/>
    <w:rsid w:val="00806068"/>
    <w:rsid w:val="00806A49"/>
    <w:rsid w:val="00806F65"/>
    <w:rsid w:val="0080705C"/>
    <w:rsid w:val="00807786"/>
    <w:rsid w:val="00807CDB"/>
    <w:rsid w:val="008101D7"/>
    <w:rsid w:val="00810D6A"/>
    <w:rsid w:val="00810DCD"/>
    <w:rsid w:val="00812221"/>
    <w:rsid w:val="00813620"/>
    <w:rsid w:val="00813FE8"/>
    <w:rsid w:val="0081533C"/>
    <w:rsid w:val="00815943"/>
    <w:rsid w:val="00815D22"/>
    <w:rsid w:val="008164F9"/>
    <w:rsid w:val="0081673B"/>
    <w:rsid w:val="00816FDA"/>
    <w:rsid w:val="00817622"/>
    <w:rsid w:val="008179E7"/>
    <w:rsid w:val="00817CD7"/>
    <w:rsid w:val="00817FF2"/>
    <w:rsid w:val="00820868"/>
    <w:rsid w:val="0082182F"/>
    <w:rsid w:val="00821D96"/>
    <w:rsid w:val="008226B8"/>
    <w:rsid w:val="00823BBE"/>
    <w:rsid w:val="008244CC"/>
    <w:rsid w:val="00824613"/>
    <w:rsid w:val="00827035"/>
    <w:rsid w:val="008275AF"/>
    <w:rsid w:val="00827AE0"/>
    <w:rsid w:val="00827B24"/>
    <w:rsid w:val="00827D4A"/>
    <w:rsid w:val="00827E85"/>
    <w:rsid w:val="00830195"/>
    <w:rsid w:val="00830634"/>
    <w:rsid w:val="00831250"/>
    <w:rsid w:val="0083193E"/>
    <w:rsid w:val="00832175"/>
    <w:rsid w:val="008323FC"/>
    <w:rsid w:val="00832509"/>
    <w:rsid w:val="008329CF"/>
    <w:rsid w:val="00833062"/>
    <w:rsid w:val="0083349E"/>
    <w:rsid w:val="008343E7"/>
    <w:rsid w:val="0083469B"/>
    <w:rsid w:val="00834A70"/>
    <w:rsid w:val="00835179"/>
    <w:rsid w:val="00835394"/>
    <w:rsid w:val="008357F4"/>
    <w:rsid w:val="00835912"/>
    <w:rsid w:val="00835950"/>
    <w:rsid w:val="00835A04"/>
    <w:rsid w:val="00835A1B"/>
    <w:rsid w:val="00835EA3"/>
    <w:rsid w:val="008361F7"/>
    <w:rsid w:val="00836669"/>
    <w:rsid w:val="00837563"/>
    <w:rsid w:val="00837EDB"/>
    <w:rsid w:val="0084024A"/>
    <w:rsid w:val="0084026A"/>
    <w:rsid w:val="0084085C"/>
    <w:rsid w:val="00840AD1"/>
    <w:rsid w:val="00841552"/>
    <w:rsid w:val="0084190B"/>
    <w:rsid w:val="00842182"/>
    <w:rsid w:val="00842C29"/>
    <w:rsid w:val="00842DA0"/>
    <w:rsid w:val="0084314F"/>
    <w:rsid w:val="008437A7"/>
    <w:rsid w:val="00843B85"/>
    <w:rsid w:val="00843D86"/>
    <w:rsid w:val="008446A1"/>
    <w:rsid w:val="00844947"/>
    <w:rsid w:val="0084495E"/>
    <w:rsid w:val="00844A47"/>
    <w:rsid w:val="00845481"/>
    <w:rsid w:val="00845523"/>
    <w:rsid w:val="00846D4F"/>
    <w:rsid w:val="00846D99"/>
    <w:rsid w:val="00846F40"/>
    <w:rsid w:val="00846F55"/>
    <w:rsid w:val="00846F6F"/>
    <w:rsid w:val="008472CB"/>
    <w:rsid w:val="008475B2"/>
    <w:rsid w:val="008504B4"/>
    <w:rsid w:val="00850E37"/>
    <w:rsid w:val="0085108E"/>
    <w:rsid w:val="00851952"/>
    <w:rsid w:val="00851B7F"/>
    <w:rsid w:val="00851B9F"/>
    <w:rsid w:val="00851C28"/>
    <w:rsid w:val="00851C3B"/>
    <w:rsid w:val="00851E2A"/>
    <w:rsid w:val="008539C6"/>
    <w:rsid w:val="00854250"/>
    <w:rsid w:val="0085439B"/>
    <w:rsid w:val="0085453A"/>
    <w:rsid w:val="00854ABC"/>
    <w:rsid w:val="0085545C"/>
    <w:rsid w:val="00855538"/>
    <w:rsid w:val="00855AA3"/>
    <w:rsid w:val="0085621B"/>
    <w:rsid w:val="0085655B"/>
    <w:rsid w:val="00856D97"/>
    <w:rsid w:val="008572C9"/>
    <w:rsid w:val="008574ED"/>
    <w:rsid w:val="008575C0"/>
    <w:rsid w:val="00857B4C"/>
    <w:rsid w:val="00857B89"/>
    <w:rsid w:val="00857FCE"/>
    <w:rsid w:val="00860882"/>
    <w:rsid w:val="00860B7B"/>
    <w:rsid w:val="008616BB"/>
    <w:rsid w:val="008616C6"/>
    <w:rsid w:val="00861725"/>
    <w:rsid w:val="00861826"/>
    <w:rsid w:val="00861882"/>
    <w:rsid w:val="008621D3"/>
    <w:rsid w:val="0086228C"/>
    <w:rsid w:val="00862931"/>
    <w:rsid w:val="00862E50"/>
    <w:rsid w:val="00862F34"/>
    <w:rsid w:val="008636BE"/>
    <w:rsid w:val="00863B53"/>
    <w:rsid w:val="00864093"/>
    <w:rsid w:val="008641A7"/>
    <w:rsid w:val="00864843"/>
    <w:rsid w:val="008649E4"/>
    <w:rsid w:val="00864C02"/>
    <w:rsid w:val="008654AE"/>
    <w:rsid w:val="008655C1"/>
    <w:rsid w:val="008655E0"/>
    <w:rsid w:val="008659A8"/>
    <w:rsid w:val="00866442"/>
    <w:rsid w:val="00866688"/>
    <w:rsid w:val="0086724B"/>
    <w:rsid w:val="00867904"/>
    <w:rsid w:val="0086797C"/>
    <w:rsid w:val="00870B85"/>
    <w:rsid w:val="00870B91"/>
    <w:rsid w:val="008711ED"/>
    <w:rsid w:val="008717E7"/>
    <w:rsid w:val="00871923"/>
    <w:rsid w:val="00871D9D"/>
    <w:rsid w:val="00871DDF"/>
    <w:rsid w:val="0087226B"/>
    <w:rsid w:val="0087295D"/>
    <w:rsid w:val="00872D50"/>
    <w:rsid w:val="00872DE2"/>
    <w:rsid w:val="00872F55"/>
    <w:rsid w:val="00873541"/>
    <w:rsid w:val="00873A4C"/>
    <w:rsid w:val="00873C3B"/>
    <w:rsid w:val="008750F0"/>
    <w:rsid w:val="0087567A"/>
    <w:rsid w:val="008758D2"/>
    <w:rsid w:val="00876146"/>
    <w:rsid w:val="00876D04"/>
    <w:rsid w:val="00877990"/>
    <w:rsid w:val="00881687"/>
    <w:rsid w:val="00881D74"/>
    <w:rsid w:val="008822A4"/>
    <w:rsid w:val="00882455"/>
    <w:rsid w:val="00882B35"/>
    <w:rsid w:val="008837E9"/>
    <w:rsid w:val="00883851"/>
    <w:rsid w:val="00883CAD"/>
    <w:rsid w:val="00883CF4"/>
    <w:rsid w:val="00883D75"/>
    <w:rsid w:val="00883FB3"/>
    <w:rsid w:val="008849B3"/>
    <w:rsid w:val="008859A3"/>
    <w:rsid w:val="008859B3"/>
    <w:rsid w:val="008859F4"/>
    <w:rsid w:val="008868DD"/>
    <w:rsid w:val="00886AA9"/>
    <w:rsid w:val="00887065"/>
    <w:rsid w:val="008876B2"/>
    <w:rsid w:val="00887779"/>
    <w:rsid w:val="00887952"/>
    <w:rsid w:val="008907DD"/>
    <w:rsid w:val="00890A65"/>
    <w:rsid w:val="00890F51"/>
    <w:rsid w:val="00890F81"/>
    <w:rsid w:val="0089175F"/>
    <w:rsid w:val="0089177C"/>
    <w:rsid w:val="00891DA5"/>
    <w:rsid w:val="0089286B"/>
    <w:rsid w:val="008929F4"/>
    <w:rsid w:val="00892B6C"/>
    <w:rsid w:val="00892DAE"/>
    <w:rsid w:val="008935F8"/>
    <w:rsid w:val="00893642"/>
    <w:rsid w:val="00893BAD"/>
    <w:rsid w:val="00893E8F"/>
    <w:rsid w:val="008944D0"/>
    <w:rsid w:val="00894DE3"/>
    <w:rsid w:val="008959BD"/>
    <w:rsid w:val="0089681E"/>
    <w:rsid w:val="00896A90"/>
    <w:rsid w:val="00897169"/>
    <w:rsid w:val="00897A3C"/>
    <w:rsid w:val="00897C91"/>
    <w:rsid w:val="00897F7C"/>
    <w:rsid w:val="008A02A9"/>
    <w:rsid w:val="008A0836"/>
    <w:rsid w:val="008A0A39"/>
    <w:rsid w:val="008A0C66"/>
    <w:rsid w:val="008A0EA2"/>
    <w:rsid w:val="008A1C36"/>
    <w:rsid w:val="008A20D9"/>
    <w:rsid w:val="008A2B63"/>
    <w:rsid w:val="008A3338"/>
    <w:rsid w:val="008A3AE0"/>
    <w:rsid w:val="008A41C8"/>
    <w:rsid w:val="008A42E1"/>
    <w:rsid w:val="008A4D63"/>
    <w:rsid w:val="008A4D98"/>
    <w:rsid w:val="008A4EB3"/>
    <w:rsid w:val="008A4EFF"/>
    <w:rsid w:val="008A50F2"/>
    <w:rsid w:val="008A5682"/>
    <w:rsid w:val="008A5C2C"/>
    <w:rsid w:val="008A5F31"/>
    <w:rsid w:val="008A607A"/>
    <w:rsid w:val="008A6446"/>
    <w:rsid w:val="008A6651"/>
    <w:rsid w:val="008A6FBC"/>
    <w:rsid w:val="008A798D"/>
    <w:rsid w:val="008A7A7D"/>
    <w:rsid w:val="008A7AE7"/>
    <w:rsid w:val="008A7D37"/>
    <w:rsid w:val="008A7E26"/>
    <w:rsid w:val="008B05C3"/>
    <w:rsid w:val="008B0699"/>
    <w:rsid w:val="008B082C"/>
    <w:rsid w:val="008B1898"/>
    <w:rsid w:val="008B1D81"/>
    <w:rsid w:val="008B20A0"/>
    <w:rsid w:val="008B218C"/>
    <w:rsid w:val="008B2190"/>
    <w:rsid w:val="008B2293"/>
    <w:rsid w:val="008B22D0"/>
    <w:rsid w:val="008B250D"/>
    <w:rsid w:val="008B2B5E"/>
    <w:rsid w:val="008B3456"/>
    <w:rsid w:val="008B3D66"/>
    <w:rsid w:val="008B3D76"/>
    <w:rsid w:val="008B43E6"/>
    <w:rsid w:val="008B46C6"/>
    <w:rsid w:val="008B4965"/>
    <w:rsid w:val="008B4A5A"/>
    <w:rsid w:val="008B51B4"/>
    <w:rsid w:val="008B5274"/>
    <w:rsid w:val="008B53A6"/>
    <w:rsid w:val="008B54DC"/>
    <w:rsid w:val="008B5573"/>
    <w:rsid w:val="008B6F89"/>
    <w:rsid w:val="008B7258"/>
    <w:rsid w:val="008B7402"/>
    <w:rsid w:val="008C024E"/>
    <w:rsid w:val="008C0966"/>
    <w:rsid w:val="008C11C7"/>
    <w:rsid w:val="008C156D"/>
    <w:rsid w:val="008C183B"/>
    <w:rsid w:val="008C18DD"/>
    <w:rsid w:val="008C2398"/>
    <w:rsid w:val="008C2B0F"/>
    <w:rsid w:val="008C2D71"/>
    <w:rsid w:val="008C31E9"/>
    <w:rsid w:val="008C3265"/>
    <w:rsid w:val="008C403C"/>
    <w:rsid w:val="008C4271"/>
    <w:rsid w:val="008C5325"/>
    <w:rsid w:val="008C547D"/>
    <w:rsid w:val="008C58DE"/>
    <w:rsid w:val="008C59FF"/>
    <w:rsid w:val="008C5CC5"/>
    <w:rsid w:val="008C5F81"/>
    <w:rsid w:val="008C6AAD"/>
    <w:rsid w:val="008C7216"/>
    <w:rsid w:val="008C7C66"/>
    <w:rsid w:val="008D01DD"/>
    <w:rsid w:val="008D05CF"/>
    <w:rsid w:val="008D0E08"/>
    <w:rsid w:val="008D11C0"/>
    <w:rsid w:val="008D1339"/>
    <w:rsid w:val="008D18A2"/>
    <w:rsid w:val="008D193D"/>
    <w:rsid w:val="008D19A5"/>
    <w:rsid w:val="008D1ABD"/>
    <w:rsid w:val="008D1CCA"/>
    <w:rsid w:val="008D1EAE"/>
    <w:rsid w:val="008D28A9"/>
    <w:rsid w:val="008D2E96"/>
    <w:rsid w:val="008D30BF"/>
    <w:rsid w:val="008D3303"/>
    <w:rsid w:val="008D3414"/>
    <w:rsid w:val="008D4AC8"/>
    <w:rsid w:val="008D5057"/>
    <w:rsid w:val="008D5BA7"/>
    <w:rsid w:val="008D606C"/>
    <w:rsid w:val="008D6316"/>
    <w:rsid w:val="008D63B9"/>
    <w:rsid w:val="008D65B1"/>
    <w:rsid w:val="008D66C9"/>
    <w:rsid w:val="008D6D83"/>
    <w:rsid w:val="008D7068"/>
    <w:rsid w:val="008D776B"/>
    <w:rsid w:val="008E20AC"/>
    <w:rsid w:val="008E2912"/>
    <w:rsid w:val="008E2A32"/>
    <w:rsid w:val="008E2A89"/>
    <w:rsid w:val="008E3599"/>
    <w:rsid w:val="008E38DE"/>
    <w:rsid w:val="008E40E1"/>
    <w:rsid w:val="008E46BA"/>
    <w:rsid w:val="008E507C"/>
    <w:rsid w:val="008E5972"/>
    <w:rsid w:val="008E6341"/>
    <w:rsid w:val="008E66BE"/>
    <w:rsid w:val="008E6EE5"/>
    <w:rsid w:val="008E760E"/>
    <w:rsid w:val="008F02D6"/>
    <w:rsid w:val="008F05EC"/>
    <w:rsid w:val="008F09C2"/>
    <w:rsid w:val="008F0C93"/>
    <w:rsid w:val="008F109A"/>
    <w:rsid w:val="008F13B8"/>
    <w:rsid w:val="008F2220"/>
    <w:rsid w:val="008F2315"/>
    <w:rsid w:val="008F29D3"/>
    <w:rsid w:val="008F410A"/>
    <w:rsid w:val="008F42BD"/>
    <w:rsid w:val="008F472C"/>
    <w:rsid w:val="008F4ECE"/>
    <w:rsid w:val="008F5923"/>
    <w:rsid w:val="008F5A89"/>
    <w:rsid w:val="008F5D90"/>
    <w:rsid w:val="008F5DC4"/>
    <w:rsid w:val="008F5E14"/>
    <w:rsid w:val="008F644B"/>
    <w:rsid w:val="008F71D1"/>
    <w:rsid w:val="008F7A16"/>
    <w:rsid w:val="008F7AF1"/>
    <w:rsid w:val="0090026C"/>
    <w:rsid w:val="00900353"/>
    <w:rsid w:val="009009D9"/>
    <w:rsid w:val="0090137A"/>
    <w:rsid w:val="00901AC9"/>
    <w:rsid w:val="00901DAD"/>
    <w:rsid w:val="00902070"/>
    <w:rsid w:val="00902269"/>
    <w:rsid w:val="00902B32"/>
    <w:rsid w:val="00903114"/>
    <w:rsid w:val="00903286"/>
    <w:rsid w:val="00903CE8"/>
    <w:rsid w:val="009049CD"/>
    <w:rsid w:val="00904A35"/>
    <w:rsid w:val="00904AFB"/>
    <w:rsid w:val="009053D9"/>
    <w:rsid w:val="00905B1C"/>
    <w:rsid w:val="00906752"/>
    <w:rsid w:val="009071EE"/>
    <w:rsid w:val="0090742D"/>
    <w:rsid w:val="0090777B"/>
    <w:rsid w:val="0091050C"/>
    <w:rsid w:val="00910544"/>
    <w:rsid w:val="00910711"/>
    <w:rsid w:val="00910CA4"/>
    <w:rsid w:val="00910F8A"/>
    <w:rsid w:val="0091100B"/>
    <w:rsid w:val="0091113E"/>
    <w:rsid w:val="00911952"/>
    <w:rsid w:val="0091250C"/>
    <w:rsid w:val="009127EC"/>
    <w:rsid w:val="00912816"/>
    <w:rsid w:val="00914032"/>
    <w:rsid w:val="009140A2"/>
    <w:rsid w:val="00914237"/>
    <w:rsid w:val="00914C6A"/>
    <w:rsid w:val="00914F2C"/>
    <w:rsid w:val="009156CA"/>
    <w:rsid w:val="00915E70"/>
    <w:rsid w:val="0091611F"/>
    <w:rsid w:val="00916A23"/>
    <w:rsid w:val="00916EBD"/>
    <w:rsid w:val="00916F53"/>
    <w:rsid w:val="009173BE"/>
    <w:rsid w:val="0091769D"/>
    <w:rsid w:val="0091783A"/>
    <w:rsid w:val="00920448"/>
    <w:rsid w:val="009207C8"/>
    <w:rsid w:val="00920CF7"/>
    <w:rsid w:val="00920F78"/>
    <w:rsid w:val="00921230"/>
    <w:rsid w:val="00921373"/>
    <w:rsid w:val="009219F6"/>
    <w:rsid w:val="00921A0C"/>
    <w:rsid w:val="00921B49"/>
    <w:rsid w:val="00922208"/>
    <w:rsid w:val="0092264A"/>
    <w:rsid w:val="0092310C"/>
    <w:rsid w:val="009233B2"/>
    <w:rsid w:val="0092340A"/>
    <w:rsid w:val="00924663"/>
    <w:rsid w:val="00924A28"/>
    <w:rsid w:val="00925460"/>
    <w:rsid w:val="0092568F"/>
    <w:rsid w:val="00925F6B"/>
    <w:rsid w:val="00925F8E"/>
    <w:rsid w:val="009262A6"/>
    <w:rsid w:val="00927845"/>
    <w:rsid w:val="00927E5F"/>
    <w:rsid w:val="00930147"/>
    <w:rsid w:val="0093048B"/>
    <w:rsid w:val="009306EB"/>
    <w:rsid w:val="009307BD"/>
    <w:rsid w:val="00930997"/>
    <w:rsid w:val="009310FD"/>
    <w:rsid w:val="00931181"/>
    <w:rsid w:val="00931196"/>
    <w:rsid w:val="009311E4"/>
    <w:rsid w:val="0093193C"/>
    <w:rsid w:val="00931EE8"/>
    <w:rsid w:val="00932109"/>
    <w:rsid w:val="00932530"/>
    <w:rsid w:val="00932EF0"/>
    <w:rsid w:val="00933291"/>
    <w:rsid w:val="0093339F"/>
    <w:rsid w:val="0093348D"/>
    <w:rsid w:val="00933DA5"/>
    <w:rsid w:val="00933ED4"/>
    <w:rsid w:val="009345CD"/>
    <w:rsid w:val="00934B01"/>
    <w:rsid w:val="00934E23"/>
    <w:rsid w:val="009354E6"/>
    <w:rsid w:val="009355E6"/>
    <w:rsid w:val="00936068"/>
    <w:rsid w:val="00936C6A"/>
    <w:rsid w:val="0093731D"/>
    <w:rsid w:val="00937B46"/>
    <w:rsid w:val="0094009A"/>
    <w:rsid w:val="0094044E"/>
    <w:rsid w:val="009408DB"/>
    <w:rsid w:val="00940A68"/>
    <w:rsid w:val="00940A9E"/>
    <w:rsid w:val="00941AC1"/>
    <w:rsid w:val="00941DB4"/>
    <w:rsid w:val="00942183"/>
    <w:rsid w:val="00942387"/>
    <w:rsid w:val="00942642"/>
    <w:rsid w:val="009428B6"/>
    <w:rsid w:val="00942B09"/>
    <w:rsid w:val="00942DC2"/>
    <w:rsid w:val="009432F2"/>
    <w:rsid w:val="0094339B"/>
    <w:rsid w:val="0094373C"/>
    <w:rsid w:val="00943B14"/>
    <w:rsid w:val="00943EFA"/>
    <w:rsid w:val="0094477B"/>
    <w:rsid w:val="00944A33"/>
    <w:rsid w:val="00944EF9"/>
    <w:rsid w:val="00945978"/>
    <w:rsid w:val="00945B74"/>
    <w:rsid w:val="00945BF1"/>
    <w:rsid w:val="0094604E"/>
    <w:rsid w:val="0094621C"/>
    <w:rsid w:val="009463DF"/>
    <w:rsid w:val="00946E41"/>
    <w:rsid w:val="00947166"/>
    <w:rsid w:val="0094744A"/>
    <w:rsid w:val="00947477"/>
    <w:rsid w:val="00947CFE"/>
    <w:rsid w:val="009504C8"/>
    <w:rsid w:val="009507A2"/>
    <w:rsid w:val="0095089D"/>
    <w:rsid w:val="00951771"/>
    <w:rsid w:val="009517CC"/>
    <w:rsid w:val="0095214B"/>
    <w:rsid w:val="0095354F"/>
    <w:rsid w:val="00953620"/>
    <w:rsid w:val="00953763"/>
    <w:rsid w:val="00953915"/>
    <w:rsid w:val="009539D6"/>
    <w:rsid w:val="00953D57"/>
    <w:rsid w:val="0095416B"/>
    <w:rsid w:val="0095450E"/>
    <w:rsid w:val="0095474E"/>
    <w:rsid w:val="00954B4F"/>
    <w:rsid w:val="00954D44"/>
    <w:rsid w:val="0095542C"/>
    <w:rsid w:val="0095592A"/>
    <w:rsid w:val="00955C7C"/>
    <w:rsid w:val="00955C81"/>
    <w:rsid w:val="00956026"/>
    <w:rsid w:val="00956893"/>
    <w:rsid w:val="009568F7"/>
    <w:rsid w:val="00956E40"/>
    <w:rsid w:val="00956E88"/>
    <w:rsid w:val="00957560"/>
    <w:rsid w:val="00957FAA"/>
    <w:rsid w:val="00960023"/>
    <w:rsid w:val="00960366"/>
    <w:rsid w:val="009604D7"/>
    <w:rsid w:val="00960F1A"/>
    <w:rsid w:val="009615D4"/>
    <w:rsid w:val="00961FED"/>
    <w:rsid w:val="009625F8"/>
    <w:rsid w:val="00962769"/>
    <w:rsid w:val="0096328E"/>
    <w:rsid w:val="009636F0"/>
    <w:rsid w:val="00963767"/>
    <w:rsid w:val="00964647"/>
    <w:rsid w:val="00964F07"/>
    <w:rsid w:val="0096558A"/>
    <w:rsid w:val="009658E6"/>
    <w:rsid w:val="0096614A"/>
    <w:rsid w:val="00967C9D"/>
    <w:rsid w:val="009706A8"/>
    <w:rsid w:val="0097080D"/>
    <w:rsid w:val="00970C82"/>
    <w:rsid w:val="0097236F"/>
    <w:rsid w:val="00972CB9"/>
    <w:rsid w:val="009735D8"/>
    <w:rsid w:val="009736F8"/>
    <w:rsid w:val="00974648"/>
    <w:rsid w:val="00974677"/>
    <w:rsid w:val="009746D4"/>
    <w:rsid w:val="0097484F"/>
    <w:rsid w:val="0097517F"/>
    <w:rsid w:val="009758AA"/>
    <w:rsid w:val="00976191"/>
    <w:rsid w:val="009766DC"/>
    <w:rsid w:val="00976C4A"/>
    <w:rsid w:val="00976E12"/>
    <w:rsid w:val="00977300"/>
    <w:rsid w:val="00980772"/>
    <w:rsid w:val="00980A71"/>
    <w:rsid w:val="00980B20"/>
    <w:rsid w:val="00981206"/>
    <w:rsid w:val="0098134C"/>
    <w:rsid w:val="009815AF"/>
    <w:rsid w:val="0098232C"/>
    <w:rsid w:val="00983432"/>
    <w:rsid w:val="009841E4"/>
    <w:rsid w:val="009842D8"/>
    <w:rsid w:val="00984BD2"/>
    <w:rsid w:val="00984FF8"/>
    <w:rsid w:val="0098529D"/>
    <w:rsid w:val="00985506"/>
    <w:rsid w:val="00985825"/>
    <w:rsid w:val="0098663C"/>
    <w:rsid w:val="009873D8"/>
    <w:rsid w:val="00987617"/>
    <w:rsid w:val="00987745"/>
    <w:rsid w:val="0098792E"/>
    <w:rsid w:val="00987B0B"/>
    <w:rsid w:val="00987C44"/>
    <w:rsid w:val="00987CC3"/>
    <w:rsid w:val="00987DB2"/>
    <w:rsid w:val="00987FE3"/>
    <w:rsid w:val="009900D3"/>
    <w:rsid w:val="009912CB"/>
    <w:rsid w:val="00991666"/>
    <w:rsid w:val="009919DA"/>
    <w:rsid w:val="00991ACA"/>
    <w:rsid w:val="00991C5F"/>
    <w:rsid w:val="009925A0"/>
    <w:rsid w:val="009928BD"/>
    <w:rsid w:val="009929E6"/>
    <w:rsid w:val="00992B18"/>
    <w:rsid w:val="00992B88"/>
    <w:rsid w:val="00992D44"/>
    <w:rsid w:val="00993179"/>
    <w:rsid w:val="00993265"/>
    <w:rsid w:val="00993603"/>
    <w:rsid w:val="0099439A"/>
    <w:rsid w:val="00995271"/>
    <w:rsid w:val="0099538A"/>
    <w:rsid w:val="0099573D"/>
    <w:rsid w:val="00995977"/>
    <w:rsid w:val="0099656F"/>
    <w:rsid w:val="00996CD7"/>
    <w:rsid w:val="009970ED"/>
    <w:rsid w:val="00997788"/>
    <w:rsid w:val="0099795A"/>
    <w:rsid w:val="00997B0B"/>
    <w:rsid w:val="00997C5D"/>
    <w:rsid w:val="00997E91"/>
    <w:rsid w:val="009A00F0"/>
    <w:rsid w:val="009A129C"/>
    <w:rsid w:val="009A147E"/>
    <w:rsid w:val="009A19C6"/>
    <w:rsid w:val="009A1B0E"/>
    <w:rsid w:val="009A1F21"/>
    <w:rsid w:val="009A21E3"/>
    <w:rsid w:val="009A24F2"/>
    <w:rsid w:val="009A2BB3"/>
    <w:rsid w:val="009A2F17"/>
    <w:rsid w:val="009A3B25"/>
    <w:rsid w:val="009A4C5B"/>
    <w:rsid w:val="009A4C8F"/>
    <w:rsid w:val="009A56EC"/>
    <w:rsid w:val="009A5C84"/>
    <w:rsid w:val="009A5F4E"/>
    <w:rsid w:val="009A69B0"/>
    <w:rsid w:val="009A7AEF"/>
    <w:rsid w:val="009A7B81"/>
    <w:rsid w:val="009B03F5"/>
    <w:rsid w:val="009B152D"/>
    <w:rsid w:val="009B1613"/>
    <w:rsid w:val="009B1D5A"/>
    <w:rsid w:val="009B200A"/>
    <w:rsid w:val="009B23FA"/>
    <w:rsid w:val="009B25BA"/>
    <w:rsid w:val="009B2866"/>
    <w:rsid w:val="009B3084"/>
    <w:rsid w:val="009B33FD"/>
    <w:rsid w:val="009B37DE"/>
    <w:rsid w:val="009B438C"/>
    <w:rsid w:val="009B44D9"/>
    <w:rsid w:val="009B5211"/>
    <w:rsid w:val="009B709F"/>
    <w:rsid w:val="009B7803"/>
    <w:rsid w:val="009B793A"/>
    <w:rsid w:val="009B79C1"/>
    <w:rsid w:val="009B7FEF"/>
    <w:rsid w:val="009C095D"/>
    <w:rsid w:val="009C0EA1"/>
    <w:rsid w:val="009C179D"/>
    <w:rsid w:val="009C1C2E"/>
    <w:rsid w:val="009C1CAB"/>
    <w:rsid w:val="009C211F"/>
    <w:rsid w:val="009C26FC"/>
    <w:rsid w:val="009C358C"/>
    <w:rsid w:val="009C36B4"/>
    <w:rsid w:val="009C4627"/>
    <w:rsid w:val="009C4C26"/>
    <w:rsid w:val="009C5A84"/>
    <w:rsid w:val="009C5B56"/>
    <w:rsid w:val="009C5E10"/>
    <w:rsid w:val="009C6900"/>
    <w:rsid w:val="009C6A8C"/>
    <w:rsid w:val="009C6BD1"/>
    <w:rsid w:val="009C6E25"/>
    <w:rsid w:val="009C7BFE"/>
    <w:rsid w:val="009D007B"/>
    <w:rsid w:val="009D071A"/>
    <w:rsid w:val="009D07F2"/>
    <w:rsid w:val="009D09C1"/>
    <w:rsid w:val="009D0A94"/>
    <w:rsid w:val="009D0E47"/>
    <w:rsid w:val="009D19A9"/>
    <w:rsid w:val="009D1B1A"/>
    <w:rsid w:val="009D205C"/>
    <w:rsid w:val="009D23BB"/>
    <w:rsid w:val="009D24F5"/>
    <w:rsid w:val="009D3320"/>
    <w:rsid w:val="009D3A81"/>
    <w:rsid w:val="009D3A8B"/>
    <w:rsid w:val="009D3B45"/>
    <w:rsid w:val="009D3F89"/>
    <w:rsid w:val="009D41EF"/>
    <w:rsid w:val="009D4716"/>
    <w:rsid w:val="009D5013"/>
    <w:rsid w:val="009D573F"/>
    <w:rsid w:val="009D5D9E"/>
    <w:rsid w:val="009D5E14"/>
    <w:rsid w:val="009D6627"/>
    <w:rsid w:val="009D6794"/>
    <w:rsid w:val="009D6BD2"/>
    <w:rsid w:val="009D6C0B"/>
    <w:rsid w:val="009D6C99"/>
    <w:rsid w:val="009D70DA"/>
    <w:rsid w:val="009D74EA"/>
    <w:rsid w:val="009D7B77"/>
    <w:rsid w:val="009E01B9"/>
    <w:rsid w:val="009E0660"/>
    <w:rsid w:val="009E0857"/>
    <w:rsid w:val="009E189C"/>
    <w:rsid w:val="009E19F8"/>
    <w:rsid w:val="009E1C7C"/>
    <w:rsid w:val="009E25E0"/>
    <w:rsid w:val="009E2EA3"/>
    <w:rsid w:val="009E2F26"/>
    <w:rsid w:val="009E3F9C"/>
    <w:rsid w:val="009E436F"/>
    <w:rsid w:val="009E45E9"/>
    <w:rsid w:val="009E528E"/>
    <w:rsid w:val="009E5923"/>
    <w:rsid w:val="009E5EC0"/>
    <w:rsid w:val="009E6264"/>
    <w:rsid w:val="009E655E"/>
    <w:rsid w:val="009E65E5"/>
    <w:rsid w:val="009E6F4F"/>
    <w:rsid w:val="009E7325"/>
    <w:rsid w:val="009E7386"/>
    <w:rsid w:val="009E74D9"/>
    <w:rsid w:val="009F0750"/>
    <w:rsid w:val="009F0BE9"/>
    <w:rsid w:val="009F0CFE"/>
    <w:rsid w:val="009F1A14"/>
    <w:rsid w:val="009F1F04"/>
    <w:rsid w:val="009F273D"/>
    <w:rsid w:val="009F2D00"/>
    <w:rsid w:val="009F37DB"/>
    <w:rsid w:val="009F3B43"/>
    <w:rsid w:val="009F4F48"/>
    <w:rsid w:val="009F588C"/>
    <w:rsid w:val="009F5B30"/>
    <w:rsid w:val="009F5CDD"/>
    <w:rsid w:val="009F68E5"/>
    <w:rsid w:val="009F6945"/>
    <w:rsid w:val="009F69D8"/>
    <w:rsid w:val="009F6AC6"/>
    <w:rsid w:val="009F6B98"/>
    <w:rsid w:val="009F6CB6"/>
    <w:rsid w:val="009F7249"/>
    <w:rsid w:val="009F7692"/>
    <w:rsid w:val="00A005B5"/>
    <w:rsid w:val="00A00D84"/>
    <w:rsid w:val="00A014E5"/>
    <w:rsid w:val="00A015A6"/>
    <w:rsid w:val="00A01695"/>
    <w:rsid w:val="00A017B0"/>
    <w:rsid w:val="00A01CAF"/>
    <w:rsid w:val="00A021BC"/>
    <w:rsid w:val="00A02AD3"/>
    <w:rsid w:val="00A0449D"/>
    <w:rsid w:val="00A0470B"/>
    <w:rsid w:val="00A04B7E"/>
    <w:rsid w:val="00A04E33"/>
    <w:rsid w:val="00A05D0C"/>
    <w:rsid w:val="00A05FF4"/>
    <w:rsid w:val="00A062A8"/>
    <w:rsid w:val="00A06651"/>
    <w:rsid w:val="00A06B23"/>
    <w:rsid w:val="00A06BB3"/>
    <w:rsid w:val="00A06CD2"/>
    <w:rsid w:val="00A06DF8"/>
    <w:rsid w:val="00A06EDA"/>
    <w:rsid w:val="00A0712E"/>
    <w:rsid w:val="00A0714C"/>
    <w:rsid w:val="00A071BB"/>
    <w:rsid w:val="00A075D1"/>
    <w:rsid w:val="00A07CFA"/>
    <w:rsid w:val="00A1031A"/>
    <w:rsid w:val="00A10907"/>
    <w:rsid w:val="00A10B2B"/>
    <w:rsid w:val="00A10F6A"/>
    <w:rsid w:val="00A11072"/>
    <w:rsid w:val="00A115BE"/>
    <w:rsid w:val="00A115C1"/>
    <w:rsid w:val="00A11C2F"/>
    <w:rsid w:val="00A124AB"/>
    <w:rsid w:val="00A125C6"/>
    <w:rsid w:val="00A12A3F"/>
    <w:rsid w:val="00A12E33"/>
    <w:rsid w:val="00A13358"/>
    <w:rsid w:val="00A13625"/>
    <w:rsid w:val="00A13664"/>
    <w:rsid w:val="00A13858"/>
    <w:rsid w:val="00A1387C"/>
    <w:rsid w:val="00A139C5"/>
    <w:rsid w:val="00A14085"/>
    <w:rsid w:val="00A1452A"/>
    <w:rsid w:val="00A14554"/>
    <w:rsid w:val="00A1483C"/>
    <w:rsid w:val="00A14C01"/>
    <w:rsid w:val="00A14C55"/>
    <w:rsid w:val="00A152BA"/>
    <w:rsid w:val="00A15783"/>
    <w:rsid w:val="00A15902"/>
    <w:rsid w:val="00A15E1E"/>
    <w:rsid w:val="00A16286"/>
    <w:rsid w:val="00A165A5"/>
    <w:rsid w:val="00A16792"/>
    <w:rsid w:val="00A16AF8"/>
    <w:rsid w:val="00A16E0E"/>
    <w:rsid w:val="00A1735B"/>
    <w:rsid w:val="00A17550"/>
    <w:rsid w:val="00A176BE"/>
    <w:rsid w:val="00A17ACC"/>
    <w:rsid w:val="00A17E7F"/>
    <w:rsid w:val="00A202EB"/>
    <w:rsid w:val="00A20BD4"/>
    <w:rsid w:val="00A20C4C"/>
    <w:rsid w:val="00A21861"/>
    <w:rsid w:val="00A21AD0"/>
    <w:rsid w:val="00A21FAD"/>
    <w:rsid w:val="00A220F6"/>
    <w:rsid w:val="00A222C2"/>
    <w:rsid w:val="00A225AF"/>
    <w:rsid w:val="00A225BF"/>
    <w:rsid w:val="00A22EF2"/>
    <w:rsid w:val="00A22F2D"/>
    <w:rsid w:val="00A23349"/>
    <w:rsid w:val="00A235FC"/>
    <w:rsid w:val="00A23670"/>
    <w:rsid w:val="00A236F6"/>
    <w:rsid w:val="00A23804"/>
    <w:rsid w:val="00A23E59"/>
    <w:rsid w:val="00A24255"/>
    <w:rsid w:val="00A2434E"/>
    <w:rsid w:val="00A24378"/>
    <w:rsid w:val="00A2451F"/>
    <w:rsid w:val="00A24EF4"/>
    <w:rsid w:val="00A26683"/>
    <w:rsid w:val="00A26951"/>
    <w:rsid w:val="00A26BC2"/>
    <w:rsid w:val="00A26CAB"/>
    <w:rsid w:val="00A274A7"/>
    <w:rsid w:val="00A27728"/>
    <w:rsid w:val="00A30B9F"/>
    <w:rsid w:val="00A324AA"/>
    <w:rsid w:val="00A326AE"/>
    <w:rsid w:val="00A3280E"/>
    <w:rsid w:val="00A32DBF"/>
    <w:rsid w:val="00A33329"/>
    <w:rsid w:val="00A33816"/>
    <w:rsid w:val="00A339FF"/>
    <w:rsid w:val="00A33D14"/>
    <w:rsid w:val="00A33E39"/>
    <w:rsid w:val="00A33F4A"/>
    <w:rsid w:val="00A34C01"/>
    <w:rsid w:val="00A34C8B"/>
    <w:rsid w:val="00A3551D"/>
    <w:rsid w:val="00A359D0"/>
    <w:rsid w:val="00A3642F"/>
    <w:rsid w:val="00A36948"/>
    <w:rsid w:val="00A36D09"/>
    <w:rsid w:val="00A370C3"/>
    <w:rsid w:val="00A37607"/>
    <w:rsid w:val="00A37B2C"/>
    <w:rsid w:val="00A405E6"/>
    <w:rsid w:val="00A412F1"/>
    <w:rsid w:val="00A42082"/>
    <w:rsid w:val="00A42194"/>
    <w:rsid w:val="00A422C8"/>
    <w:rsid w:val="00A42744"/>
    <w:rsid w:val="00A42C52"/>
    <w:rsid w:val="00A4450F"/>
    <w:rsid w:val="00A4488A"/>
    <w:rsid w:val="00A45507"/>
    <w:rsid w:val="00A455BC"/>
    <w:rsid w:val="00A455C2"/>
    <w:rsid w:val="00A46165"/>
    <w:rsid w:val="00A46E36"/>
    <w:rsid w:val="00A46F9E"/>
    <w:rsid w:val="00A4707F"/>
    <w:rsid w:val="00A4714A"/>
    <w:rsid w:val="00A471C4"/>
    <w:rsid w:val="00A476EF"/>
    <w:rsid w:val="00A50927"/>
    <w:rsid w:val="00A50AA4"/>
    <w:rsid w:val="00A50EAB"/>
    <w:rsid w:val="00A517F9"/>
    <w:rsid w:val="00A51CC0"/>
    <w:rsid w:val="00A51E7F"/>
    <w:rsid w:val="00A51ED1"/>
    <w:rsid w:val="00A51EF1"/>
    <w:rsid w:val="00A5226E"/>
    <w:rsid w:val="00A53086"/>
    <w:rsid w:val="00A53241"/>
    <w:rsid w:val="00A5404E"/>
    <w:rsid w:val="00A5408E"/>
    <w:rsid w:val="00A5433E"/>
    <w:rsid w:val="00A54815"/>
    <w:rsid w:val="00A54E43"/>
    <w:rsid w:val="00A564D3"/>
    <w:rsid w:val="00A56603"/>
    <w:rsid w:val="00A56639"/>
    <w:rsid w:val="00A5666A"/>
    <w:rsid w:val="00A56971"/>
    <w:rsid w:val="00A56A37"/>
    <w:rsid w:val="00A56ADC"/>
    <w:rsid w:val="00A56C6E"/>
    <w:rsid w:val="00A6002B"/>
    <w:rsid w:val="00A6018D"/>
    <w:rsid w:val="00A602E7"/>
    <w:rsid w:val="00A60730"/>
    <w:rsid w:val="00A60A20"/>
    <w:rsid w:val="00A61570"/>
    <w:rsid w:val="00A615B1"/>
    <w:rsid w:val="00A615DD"/>
    <w:rsid w:val="00A61A00"/>
    <w:rsid w:val="00A62726"/>
    <w:rsid w:val="00A63E2F"/>
    <w:rsid w:val="00A63E66"/>
    <w:rsid w:val="00A64D56"/>
    <w:rsid w:val="00A65015"/>
    <w:rsid w:val="00A6529E"/>
    <w:rsid w:val="00A6545C"/>
    <w:rsid w:val="00A66275"/>
    <w:rsid w:val="00A66457"/>
    <w:rsid w:val="00A66DF3"/>
    <w:rsid w:val="00A673D1"/>
    <w:rsid w:val="00A67920"/>
    <w:rsid w:val="00A67A14"/>
    <w:rsid w:val="00A7014A"/>
    <w:rsid w:val="00A7084F"/>
    <w:rsid w:val="00A70906"/>
    <w:rsid w:val="00A7116B"/>
    <w:rsid w:val="00A7169B"/>
    <w:rsid w:val="00A722A8"/>
    <w:rsid w:val="00A73265"/>
    <w:rsid w:val="00A73BED"/>
    <w:rsid w:val="00A747EC"/>
    <w:rsid w:val="00A74AF9"/>
    <w:rsid w:val="00A74BC6"/>
    <w:rsid w:val="00A74DC1"/>
    <w:rsid w:val="00A74E6E"/>
    <w:rsid w:val="00A74E9B"/>
    <w:rsid w:val="00A753E8"/>
    <w:rsid w:val="00A75905"/>
    <w:rsid w:val="00A75EE9"/>
    <w:rsid w:val="00A76063"/>
    <w:rsid w:val="00A76620"/>
    <w:rsid w:val="00A7665C"/>
    <w:rsid w:val="00A76FA5"/>
    <w:rsid w:val="00A77135"/>
    <w:rsid w:val="00A7768B"/>
    <w:rsid w:val="00A77ABB"/>
    <w:rsid w:val="00A804B6"/>
    <w:rsid w:val="00A80767"/>
    <w:rsid w:val="00A80A21"/>
    <w:rsid w:val="00A80B60"/>
    <w:rsid w:val="00A818DC"/>
    <w:rsid w:val="00A8297A"/>
    <w:rsid w:val="00A829A1"/>
    <w:rsid w:val="00A82D44"/>
    <w:rsid w:val="00A82DD6"/>
    <w:rsid w:val="00A833AD"/>
    <w:rsid w:val="00A83655"/>
    <w:rsid w:val="00A83B63"/>
    <w:rsid w:val="00A83DAD"/>
    <w:rsid w:val="00A83EB9"/>
    <w:rsid w:val="00A83EEF"/>
    <w:rsid w:val="00A84346"/>
    <w:rsid w:val="00A85404"/>
    <w:rsid w:val="00A85D71"/>
    <w:rsid w:val="00A85FBD"/>
    <w:rsid w:val="00A86209"/>
    <w:rsid w:val="00A87283"/>
    <w:rsid w:val="00A90151"/>
    <w:rsid w:val="00A9022B"/>
    <w:rsid w:val="00A902DE"/>
    <w:rsid w:val="00A90635"/>
    <w:rsid w:val="00A90AC7"/>
    <w:rsid w:val="00A90B0B"/>
    <w:rsid w:val="00A90D3C"/>
    <w:rsid w:val="00A90EDF"/>
    <w:rsid w:val="00A916ED"/>
    <w:rsid w:val="00A91824"/>
    <w:rsid w:val="00A929BC"/>
    <w:rsid w:val="00A92E6C"/>
    <w:rsid w:val="00A930BD"/>
    <w:rsid w:val="00A9318E"/>
    <w:rsid w:val="00A9359B"/>
    <w:rsid w:val="00A93B6D"/>
    <w:rsid w:val="00A93E1C"/>
    <w:rsid w:val="00A941F9"/>
    <w:rsid w:val="00A94528"/>
    <w:rsid w:val="00A94F04"/>
    <w:rsid w:val="00A9528E"/>
    <w:rsid w:val="00A9532F"/>
    <w:rsid w:val="00A954B0"/>
    <w:rsid w:val="00A959ED"/>
    <w:rsid w:val="00A95CD7"/>
    <w:rsid w:val="00A96604"/>
    <w:rsid w:val="00A968A5"/>
    <w:rsid w:val="00A96B6E"/>
    <w:rsid w:val="00A96D0A"/>
    <w:rsid w:val="00A978B7"/>
    <w:rsid w:val="00A978CC"/>
    <w:rsid w:val="00A97D17"/>
    <w:rsid w:val="00AA0704"/>
    <w:rsid w:val="00AA0AC4"/>
    <w:rsid w:val="00AA0BEF"/>
    <w:rsid w:val="00AA163B"/>
    <w:rsid w:val="00AA1863"/>
    <w:rsid w:val="00AA1DD2"/>
    <w:rsid w:val="00AA23E8"/>
    <w:rsid w:val="00AA25AB"/>
    <w:rsid w:val="00AA27D6"/>
    <w:rsid w:val="00AA2BC9"/>
    <w:rsid w:val="00AA2EA0"/>
    <w:rsid w:val="00AA30D8"/>
    <w:rsid w:val="00AA341E"/>
    <w:rsid w:val="00AA3EB4"/>
    <w:rsid w:val="00AA40F0"/>
    <w:rsid w:val="00AA4A04"/>
    <w:rsid w:val="00AA4B38"/>
    <w:rsid w:val="00AA55F5"/>
    <w:rsid w:val="00AA622B"/>
    <w:rsid w:val="00AA69AC"/>
    <w:rsid w:val="00AA6C46"/>
    <w:rsid w:val="00AA6DA5"/>
    <w:rsid w:val="00AA7B71"/>
    <w:rsid w:val="00AA7D41"/>
    <w:rsid w:val="00AA7ED4"/>
    <w:rsid w:val="00AB0667"/>
    <w:rsid w:val="00AB17B4"/>
    <w:rsid w:val="00AB1A7B"/>
    <w:rsid w:val="00AB1FB0"/>
    <w:rsid w:val="00AB2955"/>
    <w:rsid w:val="00AB2BDE"/>
    <w:rsid w:val="00AB3211"/>
    <w:rsid w:val="00AB3367"/>
    <w:rsid w:val="00AB3A2C"/>
    <w:rsid w:val="00AB3B45"/>
    <w:rsid w:val="00AB40B2"/>
    <w:rsid w:val="00AB4423"/>
    <w:rsid w:val="00AB4AA3"/>
    <w:rsid w:val="00AB4D1D"/>
    <w:rsid w:val="00AB4E04"/>
    <w:rsid w:val="00AB4ED6"/>
    <w:rsid w:val="00AB515F"/>
    <w:rsid w:val="00AB5A1C"/>
    <w:rsid w:val="00AB601C"/>
    <w:rsid w:val="00AB6165"/>
    <w:rsid w:val="00AB6387"/>
    <w:rsid w:val="00AB65B8"/>
    <w:rsid w:val="00AB687D"/>
    <w:rsid w:val="00AB74D3"/>
    <w:rsid w:val="00AC0558"/>
    <w:rsid w:val="00AC086A"/>
    <w:rsid w:val="00AC09E5"/>
    <w:rsid w:val="00AC1381"/>
    <w:rsid w:val="00AC2BCD"/>
    <w:rsid w:val="00AC2E94"/>
    <w:rsid w:val="00AC2EEC"/>
    <w:rsid w:val="00AC3295"/>
    <w:rsid w:val="00AC4ABA"/>
    <w:rsid w:val="00AC5BC3"/>
    <w:rsid w:val="00AC6142"/>
    <w:rsid w:val="00AC635D"/>
    <w:rsid w:val="00AC6501"/>
    <w:rsid w:val="00AD08C6"/>
    <w:rsid w:val="00AD09A5"/>
    <w:rsid w:val="00AD0A0B"/>
    <w:rsid w:val="00AD0B62"/>
    <w:rsid w:val="00AD0D4E"/>
    <w:rsid w:val="00AD1048"/>
    <w:rsid w:val="00AD17E5"/>
    <w:rsid w:val="00AD1ADC"/>
    <w:rsid w:val="00AD252C"/>
    <w:rsid w:val="00AD25EC"/>
    <w:rsid w:val="00AD26A8"/>
    <w:rsid w:val="00AD280F"/>
    <w:rsid w:val="00AD34AB"/>
    <w:rsid w:val="00AD393D"/>
    <w:rsid w:val="00AD3E8E"/>
    <w:rsid w:val="00AD43E2"/>
    <w:rsid w:val="00AD5C8B"/>
    <w:rsid w:val="00AD5E4E"/>
    <w:rsid w:val="00AD609B"/>
    <w:rsid w:val="00AD6DF0"/>
    <w:rsid w:val="00AD7228"/>
    <w:rsid w:val="00AD74D6"/>
    <w:rsid w:val="00AD789B"/>
    <w:rsid w:val="00AD7E96"/>
    <w:rsid w:val="00AD7FD7"/>
    <w:rsid w:val="00AE006A"/>
    <w:rsid w:val="00AE0260"/>
    <w:rsid w:val="00AE078C"/>
    <w:rsid w:val="00AE143E"/>
    <w:rsid w:val="00AE14C1"/>
    <w:rsid w:val="00AE18C4"/>
    <w:rsid w:val="00AE1B29"/>
    <w:rsid w:val="00AE1BC6"/>
    <w:rsid w:val="00AE2047"/>
    <w:rsid w:val="00AE2152"/>
    <w:rsid w:val="00AE234C"/>
    <w:rsid w:val="00AE2367"/>
    <w:rsid w:val="00AE2B36"/>
    <w:rsid w:val="00AE38F0"/>
    <w:rsid w:val="00AE394A"/>
    <w:rsid w:val="00AE3AFB"/>
    <w:rsid w:val="00AE4FE0"/>
    <w:rsid w:val="00AE5107"/>
    <w:rsid w:val="00AE5AE2"/>
    <w:rsid w:val="00AE5D4E"/>
    <w:rsid w:val="00AE681B"/>
    <w:rsid w:val="00AE6E5E"/>
    <w:rsid w:val="00AE7A16"/>
    <w:rsid w:val="00AE7A5D"/>
    <w:rsid w:val="00AF0757"/>
    <w:rsid w:val="00AF082D"/>
    <w:rsid w:val="00AF1057"/>
    <w:rsid w:val="00AF10C5"/>
    <w:rsid w:val="00AF140C"/>
    <w:rsid w:val="00AF1E14"/>
    <w:rsid w:val="00AF299F"/>
    <w:rsid w:val="00AF3053"/>
    <w:rsid w:val="00AF32AC"/>
    <w:rsid w:val="00AF3615"/>
    <w:rsid w:val="00AF3627"/>
    <w:rsid w:val="00AF4437"/>
    <w:rsid w:val="00AF4493"/>
    <w:rsid w:val="00AF4596"/>
    <w:rsid w:val="00AF45F7"/>
    <w:rsid w:val="00AF4CDC"/>
    <w:rsid w:val="00AF4F98"/>
    <w:rsid w:val="00AF55EB"/>
    <w:rsid w:val="00AF5A58"/>
    <w:rsid w:val="00AF5C9F"/>
    <w:rsid w:val="00AF6C31"/>
    <w:rsid w:val="00AF6D53"/>
    <w:rsid w:val="00AF7FA6"/>
    <w:rsid w:val="00AF7FA9"/>
    <w:rsid w:val="00AF7FC1"/>
    <w:rsid w:val="00B008C5"/>
    <w:rsid w:val="00B00C5B"/>
    <w:rsid w:val="00B00EB1"/>
    <w:rsid w:val="00B00EB6"/>
    <w:rsid w:val="00B01626"/>
    <w:rsid w:val="00B02069"/>
    <w:rsid w:val="00B023AF"/>
    <w:rsid w:val="00B02F80"/>
    <w:rsid w:val="00B03708"/>
    <w:rsid w:val="00B040D0"/>
    <w:rsid w:val="00B04712"/>
    <w:rsid w:val="00B04BCB"/>
    <w:rsid w:val="00B05154"/>
    <w:rsid w:val="00B0524D"/>
    <w:rsid w:val="00B0540E"/>
    <w:rsid w:val="00B05CBE"/>
    <w:rsid w:val="00B060C6"/>
    <w:rsid w:val="00B069DB"/>
    <w:rsid w:val="00B06E40"/>
    <w:rsid w:val="00B070FD"/>
    <w:rsid w:val="00B07BB4"/>
    <w:rsid w:val="00B1005C"/>
    <w:rsid w:val="00B10564"/>
    <w:rsid w:val="00B10DC7"/>
    <w:rsid w:val="00B11510"/>
    <w:rsid w:val="00B11B09"/>
    <w:rsid w:val="00B12BC5"/>
    <w:rsid w:val="00B12E33"/>
    <w:rsid w:val="00B13530"/>
    <w:rsid w:val="00B13848"/>
    <w:rsid w:val="00B1391D"/>
    <w:rsid w:val="00B1398C"/>
    <w:rsid w:val="00B14536"/>
    <w:rsid w:val="00B1487A"/>
    <w:rsid w:val="00B14A06"/>
    <w:rsid w:val="00B14E3F"/>
    <w:rsid w:val="00B17A60"/>
    <w:rsid w:val="00B17EEB"/>
    <w:rsid w:val="00B202FB"/>
    <w:rsid w:val="00B2065B"/>
    <w:rsid w:val="00B20998"/>
    <w:rsid w:val="00B20DD6"/>
    <w:rsid w:val="00B212AD"/>
    <w:rsid w:val="00B21554"/>
    <w:rsid w:val="00B22079"/>
    <w:rsid w:val="00B2239A"/>
    <w:rsid w:val="00B235B0"/>
    <w:rsid w:val="00B23603"/>
    <w:rsid w:val="00B23A51"/>
    <w:rsid w:val="00B24493"/>
    <w:rsid w:val="00B24903"/>
    <w:rsid w:val="00B25830"/>
    <w:rsid w:val="00B25CA7"/>
    <w:rsid w:val="00B25D0E"/>
    <w:rsid w:val="00B25D9D"/>
    <w:rsid w:val="00B2663A"/>
    <w:rsid w:val="00B2757C"/>
    <w:rsid w:val="00B279C6"/>
    <w:rsid w:val="00B27EFB"/>
    <w:rsid w:val="00B3181D"/>
    <w:rsid w:val="00B328BD"/>
    <w:rsid w:val="00B32924"/>
    <w:rsid w:val="00B32B76"/>
    <w:rsid w:val="00B32D6C"/>
    <w:rsid w:val="00B337BB"/>
    <w:rsid w:val="00B33B2A"/>
    <w:rsid w:val="00B33CB8"/>
    <w:rsid w:val="00B3404D"/>
    <w:rsid w:val="00B340D1"/>
    <w:rsid w:val="00B34B0F"/>
    <w:rsid w:val="00B34E06"/>
    <w:rsid w:val="00B354DF"/>
    <w:rsid w:val="00B368CA"/>
    <w:rsid w:val="00B36E43"/>
    <w:rsid w:val="00B373B4"/>
    <w:rsid w:val="00B3749D"/>
    <w:rsid w:val="00B375BC"/>
    <w:rsid w:val="00B3769F"/>
    <w:rsid w:val="00B37E80"/>
    <w:rsid w:val="00B40000"/>
    <w:rsid w:val="00B40309"/>
    <w:rsid w:val="00B4037B"/>
    <w:rsid w:val="00B41171"/>
    <w:rsid w:val="00B41367"/>
    <w:rsid w:val="00B41603"/>
    <w:rsid w:val="00B418DE"/>
    <w:rsid w:val="00B41C57"/>
    <w:rsid w:val="00B41D3D"/>
    <w:rsid w:val="00B4246D"/>
    <w:rsid w:val="00B42DE5"/>
    <w:rsid w:val="00B4334E"/>
    <w:rsid w:val="00B43495"/>
    <w:rsid w:val="00B436F5"/>
    <w:rsid w:val="00B43A5C"/>
    <w:rsid w:val="00B440EF"/>
    <w:rsid w:val="00B449A0"/>
    <w:rsid w:val="00B44B6D"/>
    <w:rsid w:val="00B450C0"/>
    <w:rsid w:val="00B4523C"/>
    <w:rsid w:val="00B4598C"/>
    <w:rsid w:val="00B46779"/>
    <w:rsid w:val="00B46FB1"/>
    <w:rsid w:val="00B470C6"/>
    <w:rsid w:val="00B471E8"/>
    <w:rsid w:val="00B5032D"/>
    <w:rsid w:val="00B50374"/>
    <w:rsid w:val="00B50A7C"/>
    <w:rsid w:val="00B50E00"/>
    <w:rsid w:val="00B50F42"/>
    <w:rsid w:val="00B50F8B"/>
    <w:rsid w:val="00B51DA5"/>
    <w:rsid w:val="00B5225D"/>
    <w:rsid w:val="00B52624"/>
    <w:rsid w:val="00B52788"/>
    <w:rsid w:val="00B52AFD"/>
    <w:rsid w:val="00B53737"/>
    <w:rsid w:val="00B5382B"/>
    <w:rsid w:val="00B54037"/>
    <w:rsid w:val="00B541A5"/>
    <w:rsid w:val="00B54229"/>
    <w:rsid w:val="00B54A23"/>
    <w:rsid w:val="00B54E4B"/>
    <w:rsid w:val="00B54F36"/>
    <w:rsid w:val="00B54F8E"/>
    <w:rsid w:val="00B550F2"/>
    <w:rsid w:val="00B557FE"/>
    <w:rsid w:val="00B55DCE"/>
    <w:rsid w:val="00B5655A"/>
    <w:rsid w:val="00B5721C"/>
    <w:rsid w:val="00B5764D"/>
    <w:rsid w:val="00B57E10"/>
    <w:rsid w:val="00B6038A"/>
    <w:rsid w:val="00B60C1C"/>
    <w:rsid w:val="00B61924"/>
    <w:rsid w:val="00B61CE2"/>
    <w:rsid w:val="00B626AA"/>
    <w:rsid w:val="00B62EE7"/>
    <w:rsid w:val="00B62FDD"/>
    <w:rsid w:val="00B6309B"/>
    <w:rsid w:val="00B63245"/>
    <w:rsid w:val="00B632E8"/>
    <w:rsid w:val="00B63472"/>
    <w:rsid w:val="00B646DE"/>
    <w:rsid w:val="00B648DD"/>
    <w:rsid w:val="00B64BCC"/>
    <w:rsid w:val="00B64BF0"/>
    <w:rsid w:val="00B6554D"/>
    <w:rsid w:val="00B6594D"/>
    <w:rsid w:val="00B65C0B"/>
    <w:rsid w:val="00B65DAA"/>
    <w:rsid w:val="00B65DF0"/>
    <w:rsid w:val="00B65EB0"/>
    <w:rsid w:val="00B65FD5"/>
    <w:rsid w:val="00B6666F"/>
    <w:rsid w:val="00B6673F"/>
    <w:rsid w:val="00B66B2F"/>
    <w:rsid w:val="00B67068"/>
    <w:rsid w:val="00B6758F"/>
    <w:rsid w:val="00B67802"/>
    <w:rsid w:val="00B67832"/>
    <w:rsid w:val="00B67DA1"/>
    <w:rsid w:val="00B67F02"/>
    <w:rsid w:val="00B7016D"/>
    <w:rsid w:val="00B703E4"/>
    <w:rsid w:val="00B70842"/>
    <w:rsid w:val="00B710B8"/>
    <w:rsid w:val="00B71BFC"/>
    <w:rsid w:val="00B72490"/>
    <w:rsid w:val="00B72A18"/>
    <w:rsid w:val="00B732C3"/>
    <w:rsid w:val="00B734C0"/>
    <w:rsid w:val="00B73912"/>
    <w:rsid w:val="00B73EAD"/>
    <w:rsid w:val="00B744B0"/>
    <w:rsid w:val="00B747D5"/>
    <w:rsid w:val="00B74F7F"/>
    <w:rsid w:val="00B75A7B"/>
    <w:rsid w:val="00B75B08"/>
    <w:rsid w:val="00B7665A"/>
    <w:rsid w:val="00B76976"/>
    <w:rsid w:val="00B769E6"/>
    <w:rsid w:val="00B76D74"/>
    <w:rsid w:val="00B775D1"/>
    <w:rsid w:val="00B776F7"/>
    <w:rsid w:val="00B77E93"/>
    <w:rsid w:val="00B8030C"/>
    <w:rsid w:val="00B8044B"/>
    <w:rsid w:val="00B8055C"/>
    <w:rsid w:val="00B8057C"/>
    <w:rsid w:val="00B80961"/>
    <w:rsid w:val="00B837FF"/>
    <w:rsid w:val="00B83C7E"/>
    <w:rsid w:val="00B845BA"/>
    <w:rsid w:val="00B84C6C"/>
    <w:rsid w:val="00B8508F"/>
    <w:rsid w:val="00B8512E"/>
    <w:rsid w:val="00B8531C"/>
    <w:rsid w:val="00B85852"/>
    <w:rsid w:val="00B85F9C"/>
    <w:rsid w:val="00B86406"/>
    <w:rsid w:val="00B86771"/>
    <w:rsid w:val="00B86BF7"/>
    <w:rsid w:val="00B87859"/>
    <w:rsid w:val="00B87869"/>
    <w:rsid w:val="00B87CA5"/>
    <w:rsid w:val="00B903FD"/>
    <w:rsid w:val="00B91D47"/>
    <w:rsid w:val="00B91E44"/>
    <w:rsid w:val="00B92707"/>
    <w:rsid w:val="00B928DA"/>
    <w:rsid w:val="00B929AC"/>
    <w:rsid w:val="00B92FCB"/>
    <w:rsid w:val="00B93A10"/>
    <w:rsid w:val="00B93D26"/>
    <w:rsid w:val="00B94011"/>
    <w:rsid w:val="00B94629"/>
    <w:rsid w:val="00B94E62"/>
    <w:rsid w:val="00B94F1F"/>
    <w:rsid w:val="00B952EA"/>
    <w:rsid w:val="00B95446"/>
    <w:rsid w:val="00B95653"/>
    <w:rsid w:val="00B9584B"/>
    <w:rsid w:val="00B95A41"/>
    <w:rsid w:val="00B96B18"/>
    <w:rsid w:val="00B973DB"/>
    <w:rsid w:val="00B977D3"/>
    <w:rsid w:val="00B97C66"/>
    <w:rsid w:val="00BA0564"/>
    <w:rsid w:val="00BA099B"/>
    <w:rsid w:val="00BA0E6F"/>
    <w:rsid w:val="00BA1060"/>
    <w:rsid w:val="00BA10F5"/>
    <w:rsid w:val="00BA1295"/>
    <w:rsid w:val="00BA179E"/>
    <w:rsid w:val="00BA30A9"/>
    <w:rsid w:val="00BA3208"/>
    <w:rsid w:val="00BA33AC"/>
    <w:rsid w:val="00BA3CB8"/>
    <w:rsid w:val="00BA3F5E"/>
    <w:rsid w:val="00BA4176"/>
    <w:rsid w:val="00BA4C45"/>
    <w:rsid w:val="00BA4E06"/>
    <w:rsid w:val="00BA5064"/>
    <w:rsid w:val="00BA5338"/>
    <w:rsid w:val="00BA58D2"/>
    <w:rsid w:val="00BA6121"/>
    <w:rsid w:val="00BA647E"/>
    <w:rsid w:val="00BA6DFE"/>
    <w:rsid w:val="00BA7623"/>
    <w:rsid w:val="00BA78ED"/>
    <w:rsid w:val="00BB0225"/>
    <w:rsid w:val="00BB0A4F"/>
    <w:rsid w:val="00BB17F1"/>
    <w:rsid w:val="00BB19E7"/>
    <w:rsid w:val="00BB2704"/>
    <w:rsid w:val="00BB2849"/>
    <w:rsid w:val="00BB29BB"/>
    <w:rsid w:val="00BB2A23"/>
    <w:rsid w:val="00BB2B84"/>
    <w:rsid w:val="00BB3E68"/>
    <w:rsid w:val="00BB43B0"/>
    <w:rsid w:val="00BB4460"/>
    <w:rsid w:val="00BB49E6"/>
    <w:rsid w:val="00BB4A57"/>
    <w:rsid w:val="00BB4A67"/>
    <w:rsid w:val="00BB501D"/>
    <w:rsid w:val="00BB5CEC"/>
    <w:rsid w:val="00BB6129"/>
    <w:rsid w:val="00BB65EF"/>
    <w:rsid w:val="00BB689A"/>
    <w:rsid w:val="00BB6C1F"/>
    <w:rsid w:val="00BB7309"/>
    <w:rsid w:val="00BB753D"/>
    <w:rsid w:val="00BB76B9"/>
    <w:rsid w:val="00BB7B6F"/>
    <w:rsid w:val="00BB7D51"/>
    <w:rsid w:val="00BB7EE4"/>
    <w:rsid w:val="00BC001E"/>
    <w:rsid w:val="00BC036E"/>
    <w:rsid w:val="00BC0382"/>
    <w:rsid w:val="00BC11B8"/>
    <w:rsid w:val="00BC1612"/>
    <w:rsid w:val="00BC1EFB"/>
    <w:rsid w:val="00BC236A"/>
    <w:rsid w:val="00BC2682"/>
    <w:rsid w:val="00BC27F5"/>
    <w:rsid w:val="00BC2982"/>
    <w:rsid w:val="00BC2ADF"/>
    <w:rsid w:val="00BC3179"/>
    <w:rsid w:val="00BC3632"/>
    <w:rsid w:val="00BC3935"/>
    <w:rsid w:val="00BC39B5"/>
    <w:rsid w:val="00BC3FE1"/>
    <w:rsid w:val="00BC4167"/>
    <w:rsid w:val="00BC4AC5"/>
    <w:rsid w:val="00BC4E10"/>
    <w:rsid w:val="00BC51C4"/>
    <w:rsid w:val="00BC5288"/>
    <w:rsid w:val="00BC575E"/>
    <w:rsid w:val="00BC594B"/>
    <w:rsid w:val="00BC5A78"/>
    <w:rsid w:val="00BC6265"/>
    <w:rsid w:val="00BC62BE"/>
    <w:rsid w:val="00BC67FF"/>
    <w:rsid w:val="00BC6B0F"/>
    <w:rsid w:val="00BC6BD9"/>
    <w:rsid w:val="00BC7DEB"/>
    <w:rsid w:val="00BD00CF"/>
    <w:rsid w:val="00BD0165"/>
    <w:rsid w:val="00BD06C5"/>
    <w:rsid w:val="00BD128D"/>
    <w:rsid w:val="00BD1A47"/>
    <w:rsid w:val="00BD1EA0"/>
    <w:rsid w:val="00BD25D1"/>
    <w:rsid w:val="00BD2F9C"/>
    <w:rsid w:val="00BD34DE"/>
    <w:rsid w:val="00BD3AF9"/>
    <w:rsid w:val="00BD4833"/>
    <w:rsid w:val="00BD4CA7"/>
    <w:rsid w:val="00BD6E11"/>
    <w:rsid w:val="00BD7508"/>
    <w:rsid w:val="00BD7D96"/>
    <w:rsid w:val="00BE0117"/>
    <w:rsid w:val="00BE06CE"/>
    <w:rsid w:val="00BE0717"/>
    <w:rsid w:val="00BE0D6F"/>
    <w:rsid w:val="00BE0F4D"/>
    <w:rsid w:val="00BE1995"/>
    <w:rsid w:val="00BE1A1C"/>
    <w:rsid w:val="00BE2122"/>
    <w:rsid w:val="00BE2438"/>
    <w:rsid w:val="00BE2494"/>
    <w:rsid w:val="00BE26B5"/>
    <w:rsid w:val="00BE2C3B"/>
    <w:rsid w:val="00BE30F1"/>
    <w:rsid w:val="00BE329C"/>
    <w:rsid w:val="00BE57EF"/>
    <w:rsid w:val="00BE6118"/>
    <w:rsid w:val="00BE6D75"/>
    <w:rsid w:val="00BE6F34"/>
    <w:rsid w:val="00BE6FBD"/>
    <w:rsid w:val="00BE7B83"/>
    <w:rsid w:val="00BE7FBF"/>
    <w:rsid w:val="00BF03EC"/>
    <w:rsid w:val="00BF10ED"/>
    <w:rsid w:val="00BF1A53"/>
    <w:rsid w:val="00BF1AC8"/>
    <w:rsid w:val="00BF1E8E"/>
    <w:rsid w:val="00BF2378"/>
    <w:rsid w:val="00BF2C01"/>
    <w:rsid w:val="00BF2FDF"/>
    <w:rsid w:val="00BF35E1"/>
    <w:rsid w:val="00BF3DB9"/>
    <w:rsid w:val="00BF4413"/>
    <w:rsid w:val="00BF450E"/>
    <w:rsid w:val="00BF460B"/>
    <w:rsid w:val="00BF49E9"/>
    <w:rsid w:val="00BF4FEA"/>
    <w:rsid w:val="00BF55F4"/>
    <w:rsid w:val="00BF57C6"/>
    <w:rsid w:val="00BF59BC"/>
    <w:rsid w:val="00BF5CE3"/>
    <w:rsid w:val="00BF60FC"/>
    <w:rsid w:val="00BF65BD"/>
    <w:rsid w:val="00BF68C8"/>
    <w:rsid w:val="00BF7239"/>
    <w:rsid w:val="00BF75FC"/>
    <w:rsid w:val="00BF776E"/>
    <w:rsid w:val="00BF7932"/>
    <w:rsid w:val="00BF7BD0"/>
    <w:rsid w:val="00BF7C97"/>
    <w:rsid w:val="00BF7D0F"/>
    <w:rsid w:val="00C0192A"/>
    <w:rsid w:val="00C01E68"/>
    <w:rsid w:val="00C02A9E"/>
    <w:rsid w:val="00C03289"/>
    <w:rsid w:val="00C03CAB"/>
    <w:rsid w:val="00C04475"/>
    <w:rsid w:val="00C04AE3"/>
    <w:rsid w:val="00C055D9"/>
    <w:rsid w:val="00C055DE"/>
    <w:rsid w:val="00C056F6"/>
    <w:rsid w:val="00C057B7"/>
    <w:rsid w:val="00C06BBC"/>
    <w:rsid w:val="00C06BF1"/>
    <w:rsid w:val="00C072C4"/>
    <w:rsid w:val="00C075F3"/>
    <w:rsid w:val="00C07FFA"/>
    <w:rsid w:val="00C10119"/>
    <w:rsid w:val="00C11359"/>
    <w:rsid w:val="00C1152F"/>
    <w:rsid w:val="00C11924"/>
    <w:rsid w:val="00C11CFF"/>
    <w:rsid w:val="00C11FBB"/>
    <w:rsid w:val="00C12699"/>
    <w:rsid w:val="00C12AB0"/>
    <w:rsid w:val="00C12D04"/>
    <w:rsid w:val="00C130A8"/>
    <w:rsid w:val="00C13177"/>
    <w:rsid w:val="00C13AFB"/>
    <w:rsid w:val="00C1459C"/>
    <w:rsid w:val="00C14BF7"/>
    <w:rsid w:val="00C150DC"/>
    <w:rsid w:val="00C15636"/>
    <w:rsid w:val="00C15BAA"/>
    <w:rsid w:val="00C15CB5"/>
    <w:rsid w:val="00C17900"/>
    <w:rsid w:val="00C17946"/>
    <w:rsid w:val="00C17E09"/>
    <w:rsid w:val="00C17E79"/>
    <w:rsid w:val="00C2009B"/>
    <w:rsid w:val="00C2057B"/>
    <w:rsid w:val="00C20E0C"/>
    <w:rsid w:val="00C215A1"/>
    <w:rsid w:val="00C220AD"/>
    <w:rsid w:val="00C22A10"/>
    <w:rsid w:val="00C23373"/>
    <w:rsid w:val="00C23470"/>
    <w:rsid w:val="00C235E6"/>
    <w:rsid w:val="00C237B8"/>
    <w:rsid w:val="00C23A34"/>
    <w:rsid w:val="00C243CB"/>
    <w:rsid w:val="00C2450C"/>
    <w:rsid w:val="00C2485B"/>
    <w:rsid w:val="00C251C1"/>
    <w:rsid w:val="00C262AB"/>
    <w:rsid w:val="00C267CA"/>
    <w:rsid w:val="00C26C6D"/>
    <w:rsid w:val="00C26F27"/>
    <w:rsid w:val="00C27A9F"/>
    <w:rsid w:val="00C27F66"/>
    <w:rsid w:val="00C30F28"/>
    <w:rsid w:val="00C31553"/>
    <w:rsid w:val="00C31CBA"/>
    <w:rsid w:val="00C3252A"/>
    <w:rsid w:val="00C326F9"/>
    <w:rsid w:val="00C327A1"/>
    <w:rsid w:val="00C327BC"/>
    <w:rsid w:val="00C3293A"/>
    <w:rsid w:val="00C332B0"/>
    <w:rsid w:val="00C33A15"/>
    <w:rsid w:val="00C33A49"/>
    <w:rsid w:val="00C34157"/>
    <w:rsid w:val="00C34549"/>
    <w:rsid w:val="00C34A3D"/>
    <w:rsid w:val="00C350E1"/>
    <w:rsid w:val="00C351A2"/>
    <w:rsid w:val="00C35AA2"/>
    <w:rsid w:val="00C35C47"/>
    <w:rsid w:val="00C35DAB"/>
    <w:rsid w:val="00C36C85"/>
    <w:rsid w:val="00C36D0C"/>
    <w:rsid w:val="00C36E65"/>
    <w:rsid w:val="00C36FD4"/>
    <w:rsid w:val="00C37125"/>
    <w:rsid w:val="00C3771C"/>
    <w:rsid w:val="00C37856"/>
    <w:rsid w:val="00C379DF"/>
    <w:rsid w:val="00C37A29"/>
    <w:rsid w:val="00C37A5E"/>
    <w:rsid w:val="00C37EE0"/>
    <w:rsid w:val="00C400BC"/>
    <w:rsid w:val="00C401E7"/>
    <w:rsid w:val="00C40D7D"/>
    <w:rsid w:val="00C41173"/>
    <w:rsid w:val="00C41E5F"/>
    <w:rsid w:val="00C42774"/>
    <w:rsid w:val="00C43DBE"/>
    <w:rsid w:val="00C44673"/>
    <w:rsid w:val="00C4592D"/>
    <w:rsid w:val="00C463B1"/>
    <w:rsid w:val="00C46403"/>
    <w:rsid w:val="00C46594"/>
    <w:rsid w:val="00C46858"/>
    <w:rsid w:val="00C475B1"/>
    <w:rsid w:val="00C47940"/>
    <w:rsid w:val="00C479D3"/>
    <w:rsid w:val="00C47B48"/>
    <w:rsid w:val="00C500BE"/>
    <w:rsid w:val="00C502D3"/>
    <w:rsid w:val="00C5071A"/>
    <w:rsid w:val="00C50A65"/>
    <w:rsid w:val="00C50C57"/>
    <w:rsid w:val="00C50E76"/>
    <w:rsid w:val="00C51365"/>
    <w:rsid w:val="00C51E40"/>
    <w:rsid w:val="00C527D2"/>
    <w:rsid w:val="00C53A04"/>
    <w:rsid w:val="00C53AD3"/>
    <w:rsid w:val="00C5453B"/>
    <w:rsid w:val="00C54C9B"/>
    <w:rsid w:val="00C54D2B"/>
    <w:rsid w:val="00C54FD3"/>
    <w:rsid w:val="00C55A19"/>
    <w:rsid w:val="00C5645D"/>
    <w:rsid w:val="00C569F2"/>
    <w:rsid w:val="00C5729C"/>
    <w:rsid w:val="00C57320"/>
    <w:rsid w:val="00C6000D"/>
    <w:rsid w:val="00C6082E"/>
    <w:rsid w:val="00C608B2"/>
    <w:rsid w:val="00C60917"/>
    <w:rsid w:val="00C60D2C"/>
    <w:rsid w:val="00C613B3"/>
    <w:rsid w:val="00C61472"/>
    <w:rsid w:val="00C61B84"/>
    <w:rsid w:val="00C626DC"/>
    <w:rsid w:val="00C63042"/>
    <w:rsid w:val="00C6322E"/>
    <w:rsid w:val="00C632A8"/>
    <w:rsid w:val="00C635C9"/>
    <w:rsid w:val="00C635E0"/>
    <w:rsid w:val="00C63DAA"/>
    <w:rsid w:val="00C654CC"/>
    <w:rsid w:val="00C655EE"/>
    <w:rsid w:val="00C65ABA"/>
    <w:rsid w:val="00C666CE"/>
    <w:rsid w:val="00C672D8"/>
    <w:rsid w:val="00C6768A"/>
    <w:rsid w:val="00C67945"/>
    <w:rsid w:val="00C707AF"/>
    <w:rsid w:val="00C709CD"/>
    <w:rsid w:val="00C70EFC"/>
    <w:rsid w:val="00C7149D"/>
    <w:rsid w:val="00C721C5"/>
    <w:rsid w:val="00C744D7"/>
    <w:rsid w:val="00C748A1"/>
    <w:rsid w:val="00C74CE2"/>
    <w:rsid w:val="00C75B64"/>
    <w:rsid w:val="00C75E04"/>
    <w:rsid w:val="00C762C5"/>
    <w:rsid w:val="00C76732"/>
    <w:rsid w:val="00C76901"/>
    <w:rsid w:val="00C76B3A"/>
    <w:rsid w:val="00C76BBF"/>
    <w:rsid w:val="00C773F8"/>
    <w:rsid w:val="00C80653"/>
    <w:rsid w:val="00C80747"/>
    <w:rsid w:val="00C807B8"/>
    <w:rsid w:val="00C817C3"/>
    <w:rsid w:val="00C81D1F"/>
    <w:rsid w:val="00C82523"/>
    <w:rsid w:val="00C82A44"/>
    <w:rsid w:val="00C82BD9"/>
    <w:rsid w:val="00C82ED6"/>
    <w:rsid w:val="00C8339F"/>
    <w:rsid w:val="00C83498"/>
    <w:rsid w:val="00C835C6"/>
    <w:rsid w:val="00C83A61"/>
    <w:rsid w:val="00C83EDB"/>
    <w:rsid w:val="00C83F15"/>
    <w:rsid w:val="00C8444A"/>
    <w:rsid w:val="00C84755"/>
    <w:rsid w:val="00C848FE"/>
    <w:rsid w:val="00C84D04"/>
    <w:rsid w:val="00C84F83"/>
    <w:rsid w:val="00C84F98"/>
    <w:rsid w:val="00C84FE5"/>
    <w:rsid w:val="00C852DE"/>
    <w:rsid w:val="00C857E1"/>
    <w:rsid w:val="00C85869"/>
    <w:rsid w:val="00C85A99"/>
    <w:rsid w:val="00C8663D"/>
    <w:rsid w:val="00C869D5"/>
    <w:rsid w:val="00C86A9F"/>
    <w:rsid w:val="00C87370"/>
    <w:rsid w:val="00C87980"/>
    <w:rsid w:val="00C902AB"/>
    <w:rsid w:val="00C902B6"/>
    <w:rsid w:val="00C904D1"/>
    <w:rsid w:val="00C9059F"/>
    <w:rsid w:val="00C90A29"/>
    <w:rsid w:val="00C9151A"/>
    <w:rsid w:val="00C91DF1"/>
    <w:rsid w:val="00C927AF"/>
    <w:rsid w:val="00C92AF0"/>
    <w:rsid w:val="00C92FFC"/>
    <w:rsid w:val="00C93155"/>
    <w:rsid w:val="00C93185"/>
    <w:rsid w:val="00C932F3"/>
    <w:rsid w:val="00C94463"/>
    <w:rsid w:val="00C950F7"/>
    <w:rsid w:val="00C95168"/>
    <w:rsid w:val="00C954AE"/>
    <w:rsid w:val="00C95C4B"/>
    <w:rsid w:val="00C95DFC"/>
    <w:rsid w:val="00C965FD"/>
    <w:rsid w:val="00C96650"/>
    <w:rsid w:val="00C9669B"/>
    <w:rsid w:val="00C967C2"/>
    <w:rsid w:val="00C96B36"/>
    <w:rsid w:val="00C96D1B"/>
    <w:rsid w:val="00C97073"/>
    <w:rsid w:val="00C97293"/>
    <w:rsid w:val="00C979E5"/>
    <w:rsid w:val="00C97FB9"/>
    <w:rsid w:val="00CA00D4"/>
    <w:rsid w:val="00CA02AE"/>
    <w:rsid w:val="00CA0A7B"/>
    <w:rsid w:val="00CA0BFD"/>
    <w:rsid w:val="00CA188C"/>
    <w:rsid w:val="00CA3BF3"/>
    <w:rsid w:val="00CA3F84"/>
    <w:rsid w:val="00CA4065"/>
    <w:rsid w:val="00CA4446"/>
    <w:rsid w:val="00CA4581"/>
    <w:rsid w:val="00CA45BF"/>
    <w:rsid w:val="00CA4ADE"/>
    <w:rsid w:val="00CA500E"/>
    <w:rsid w:val="00CA5062"/>
    <w:rsid w:val="00CA5321"/>
    <w:rsid w:val="00CA57BE"/>
    <w:rsid w:val="00CA5F51"/>
    <w:rsid w:val="00CA6DD9"/>
    <w:rsid w:val="00CA740D"/>
    <w:rsid w:val="00CB0188"/>
    <w:rsid w:val="00CB0372"/>
    <w:rsid w:val="00CB04D7"/>
    <w:rsid w:val="00CB073F"/>
    <w:rsid w:val="00CB1DC8"/>
    <w:rsid w:val="00CB2919"/>
    <w:rsid w:val="00CB2A7B"/>
    <w:rsid w:val="00CB3123"/>
    <w:rsid w:val="00CB35BD"/>
    <w:rsid w:val="00CB43EF"/>
    <w:rsid w:val="00CB4550"/>
    <w:rsid w:val="00CB45F5"/>
    <w:rsid w:val="00CB494B"/>
    <w:rsid w:val="00CB4997"/>
    <w:rsid w:val="00CB4B77"/>
    <w:rsid w:val="00CB50E1"/>
    <w:rsid w:val="00CB52C3"/>
    <w:rsid w:val="00CB55B8"/>
    <w:rsid w:val="00CB5BA6"/>
    <w:rsid w:val="00CB5DA7"/>
    <w:rsid w:val="00CB659F"/>
    <w:rsid w:val="00CB6DAC"/>
    <w:rsid w:val="00CB6F5D"/>
    <w:rsid w:val="00CB703E"/>
    <w:rsid w:val="00CB717A"/>
    <w:rsid w:val="00CB726A"/>
    <w:rsid w:val="00CB79E8"/>
    <w:rsid w:val="00CB7E60"/>
    <w:rsid w:val="00CC03DB"/>
    <w:rsid w:val="00CC0628"/>
    <w:rsid w:val="00CC0931"/>
    <w:rsid w:val="00CC0B20"/>
    <w:rsid w:val="00CC112B"/>
    <w:rsid w:val="00CC21CE"/>
    <w:rsid w:val="00CC2AE7"/>
    <w:rsid w:val="00CC2F62"/>
    <w:rsid w:val="00CC3697"/>
    <w:rsid w:val="00CC3D0E"/>
    <w:rsid w:val="00CC4711"/>
    <w:rsid w:val="00CC4D42"/>
    <w:rsid w:val="00CC5203"/>
    <w:rsid w:val="00CC590D"/>
    <w:rsid w:val="00CC5A3C"/>
    <w:rsid w:val="00CC6183"/>
    <w:rsid w:val="00CC676A"/>
    <w:rsid w:val="00CC69F9"/>
    <w:rsid w:val="00CC6C3A"/>
    <w:rsid w:val="00CC7DA8"/>
    <w:rsid w:val="00CD0061"/>
    <w:rsid w:val="00CD04AF"/>
    <w:rsid w:val="00CD06C2"/>
    <w:rsid w:val="00CD06D8"/>
    <w:rsid w:val="00CD0832"/>
    <w:rsid w:val="00CD0ABD"/>
    <w:rsid w:val="00CD1224"/>
    <w:rsid w:val="00CD1314"/>
    <w:rsid w:val="00CD2720"/>
    <w:rsid w:val="00CD2FC1"/>
    <w:rsid w:val="00CD36CE"/>
    <w:rsid w:val="00CD3FE1"/>
    <w:rsid w:val="00CD402E"/>
    <w:rsid w:val="00CD4314"/>
    <w:rsid w:val="00CD49E3"/>
    <w:rsid w:val="00CD4BE8"/>
    <w:rsid w:val="00CD4C34"/>
    <w:rsid w:val="00CD5775"/>
    <w:rsid w:val="00CD5CA3"/>
    <w:rsid w:val="00CD61EB"/>
    <w:rsid w:val="00CD698A"/>
    <w:rsid w:val="00CE02D3"/>
    <w:rsid w:val="00CE05A6"/>
    <w:rsid w:val="00CE0828"/>
    <w:rsid w:val="00CE09BA"/>
    <w:rsid w:val="00CE0E14"/>
    <w:rsid w:val="00CE1418"/>
    <w:rsid w:val="00CE1581"/>
    <w:rsid w:val="00CE1B61"/>
    <w:rsid w:val="00CE212D"/>
    <w:rsid w:val="00CE2ABA"/>
    <w:rsid w:val="00CE2DE7"/>
    <w:rsid w:val="00CE2EBA"/>
    <w:rsid w:val="00CE33F6"/>
    <w:rsid w:val="00CE36DF"/>
    <w:rsid w:val="00CE3892"/>
    <w:rsid w:val="00CE3DC7"/>
    <w:rsid w:val="00CE4244"/>
    <w:rsid w:val="00CE4B89"/>
    <w:rsid w:val="00CE4E0E"/>
    <w:rsid w:val="00CE58D6"/>
    <w:rsid w:val="00CE5BB2"/>
    <w:rsid w:val="00CE684B"/>
    <w:rsid w:val="00CE70BB"/>
    <w:rsid w:val="00CE790F"/>
    <w:rsid w:val="00CE7F6F"/>
    <w:rsid w:val="00CF0101"/>
    <w:rsid w:val="00CF014A"/>
    <w:rsid w:val="00CF02F0"/>
    <w:rsid w:val="00CF02F2"/>
    <w:rsid w:val="00CF0370"/>
    <w:rsid w:val="00CF0445"/>
    <w:rsid w:val="00CF0CC8"/>
    <w:rsid w:val="00CF13EA"/>
    <w:rsid w:val="00CF1AD4"/>
    <w:rsid w:val="00CF1DDA"/>
    <w:rsid w:val="00CF27EC"/>
    <w:rsid w:val="00CF2A2B"/>
    <w:rsid w:val="00CF340B"/>
    <w:rsid w:val="00CF42D5"/>
    <w:rsid w:val="00CF4972"/>
    <w:rsid w:val="00CF6A94"/>
    <w:rsid w:val="00CF6E71"/>
    <w:rsid w:val="00CF6F2E"/>
    <w:rsid w:val="00CF6FC9"/>
    <w:rsid w:val="00CF72D5"/>
    <w:rsid w:val="00CF7449"/>
    <w:rsid w:val="00CF76FB"/>
    <w:rsid w:val="00CF7B14"/>
    <w:rsid w:val="00CF7B2A"/>
    <w:rsid w:val="00D0066E"/>
    <w:rsid w:val="00D008B9"/>
    <w:rsid w:val="00D0098A"/>
    <w:rsid w:val="00D010D6"/>
    <w:rsid w:val="00D019AD"/>
    <w:rsid w:val="00D01A4C"/>
    <w:rsid w:val="00D01DEF"/>
    <w:rsid w:val="00D01E1F"/>
    <w:rsid w:val="00D02631"/>
    <w:rsid w:val="00D02903"/>
    <w:rsid w:val="00D03076"/>
    <w:rsid w:val="00D031AC"/>
    <w:rsid w:val="00D03D4A"/>
    <w:rsid w:val="00D03EA7"/>
    <w:rsid w:val="00D04C8C"/>
    <w:rsid w:val="00D05002"/>
    <w:rsid w:val="00D050E9"/>
    <w:rsid w:val="00D0512B"/>
    <w:rsid w:val="00D054AE"/>
    <w:rsid w:val="00D05841"/>
    <w:rsid w:val="00D05C34"/>
    <w:rsid w:val="00D05CC7"/>
    <w:rsid w:val="00D067B1"/>
    <w:rsid w:val="00D06A6C"/>
    <w:rsid w:val="00D06DDF"/>
    <w:rsid w:val="00D0782E"/>
    <w:rsid w:val="00D07CE3"/>
    <w:rsid w:val="00D07D0E"/>
    <w:rsid w:val="00D07F44"/>
    <w:rsid w:val="00D10D9C"/>
    <w:rsid w:val="00D10DDE"/>
    <w:rsid w:val="00D11CD0"/>
    <w:rsid w:val="00D1201C"/>
    <w:rsid w:val="00D1229F"/>
    <w:rsid w:val="00D148D3"/>
    <w:rsid w:val="00D15590"/>
    <w:rsid w:val="00D156FE"/>
    <w:rsid w:val="00D15F48"/>
    <w:rsid w:val="00D161B1"/>
    <w:rsid w:val="00D169AC"/>
    <w:rsid w:val="00D16F74"/>
    <w:rsid w:val="00D171BD"/>
    <w:rsid w:val="00D1773F"/>
    <w:rsid w:val="00D179B1"/>
    <w:rsid w:val="00D17AD2"/>
    <w:rsid w:val="00D2064F"/>
    <w:rsid w:val="00D2067A"/>
    <w:rsid w:val="00D20760"/>
    <w:rsid w:val="00D213E3"/>
    <w:rsid w:val="00D214BE"/>
    <w:rsid w:val="00D21AF2"/>
    <w:rsid w:val="00D22D73"/>
    <w:rsid w:val="00D22F82"/>
    <w:rsid w:val="00D2330D"/>
    <w:rsid w:val="00D23845"/>
    <w:rsid w:val="00D23C60"/>
    <w:rsid w:val="00D24CEF"/>
    <w:rsid w:val="00D24EB1"/>
    <w:rsid w:val="00D253B7"/>
    <w:rsid w:val="00D2586B"/>
    <w:rsid w:val="00D25DEA"/>
    <w:rsid w:val="00D26C33"/>
    <w:rsid w:val="00D273C3"/>
    <w:rsid w:val="00D276D3"/>
    <w:rsid w:val="00D27B81"/>
    <w:rsid w:val="00D300AA"/>
    <w:rsid w:val="00D304E5"/>
    <w:rsid w:val="00D309C1"/>
    <w:rsid w:val="00D30BC5"/>
    <w:rsid w:val="00D30D10"/>
    <w:rsid w:val="00D31163"/>
    <w:rsid w:val="00D31325"/>
    <w:rsid w:val="00D315D0"/>
    <w:rsid w:val="00D328F6"/>
    <w:rsid w:val="00D332F8"/>
    <w:rsid w:val="00D33FE0"/>
    <w:rsid w:val="00D344EC"/>
    <w:rsid w:val="00D34C0B"/>
    <w:rsid w:val="00D34DC7"/>
    <w:rsid w:val="00D34F9D"/>
    <w:rsid w:val="00D35304"/>
    <w:rsid w:val="00D360E9"/>
    <w:rsid w:val="00D36AC6"/>
    <w:rsid w:val="00D36BE4"/>
    <w:rsid w:val="00D376F9"/>
    <w:rsid w:val="00D37799"/>
    <w:rsid w:val="00D37F3F"/>
    <w:rsid w:val="00D41086"/>
    <w:rsid w:val="00D411A8"/>
    <w:rsid w:val="00D41233"/>
    <w:rsid w:val="00D416AF"/>
    <w:rsid w:val="00D41913"/>
    <w:rsid w:val="00D41B69"/>
    <w:rsid w:val="00D42199"/>
    <w:rsid w:val="00D4253C"/>
    <w:rsid w:val="00D4317E"/>
    <w:rsid w:val="00D431C4"/>
    <w:rsid w:val="00D43E20"/>
    <w:rsid w:val="00D44044"/>
    <w:rsid w:val="00D44E65"/>
    <w:rsid w:val="00D45096"/>
    <w:rsid w:val="00D450DA"/>
    <w:rsid w:val="00D45A76"/>
    <w:rsid w:val="00D45EF0"/>
    <w:rsid w:val="00D462E7"/>
    <w:rsid w:val="00D475DB"/>
    <w:rsid w:val="00D4772C"/>
    <w:rsid w:val="00D47D3B"/>
    <w:rsid w:val="00D50034"/>
    <w:rsid w:val="00D5082B"/>
    <w:rsid w:val="00D50B9D"/>
    <w:rsid w:val="00D50C1B"/>
    <w:rsid w:val="00D51137"/>
    <w:rsid w:val="00D51BD0"/>
    <w:rsid w:val="00D525AD"/>
    <w:rsid w:val="00D52886"/>
    <w:rsid w:val="00D52AE4"/>
    <w:rsid w:val="00D52FC6"/>
    <w:rsid w:val="00D53286"/>
    <w:rsid w:val="00D5374C"/>
    <w:rsid w:val="00D54AF2"/>
    <w:rsid w:val="00D561F0"/>
    <w:rsid w:val="00D564A9"/>
    <w:rsid w:val="00D566F7"/>
    <w:rsid w:val="00D56BDA"/>
    <w:rsid w:val="00D56C89"/>
    <w:rsid w:val="00D56DCC"/>
    <w:rsid w:val="00D57061"/>
    <w:rsid w:val="00D57252"/>
    <w:rsid w:val="00D5785F"/>
    <w:rsid w:val="00D57B0C"/>
    <w:rsid w:val="00D57C59"/>
    <w:rsid w:val="00D60231"/>
    <w:rsid w:val="00D60649"/>
    <w:rsid w:val="00D60756"/>
    <w:rsid w:val="00D61C28"/>
    <w:rsid w:val="00D61E88"/>
    <w:rsid w:val="00D61EAC"/>
    <w:rsid w:val="00D61EB0"/>
    <w:rsid w:val="00D623F3"/>
    <w:rsid w:val="00D62B11"/>
    <w:rsid w:val="00D62D42"/>
    <w:rsid w:val="00D6320E"/>
    <w:rsid w:val="00D636B3"/>
    <w:rsid w:val="00D64660"/>
    <w:rsid w:val="00D65874"/>
    <w:rsid w:val="00D6628B"/>
    <w:rsid w:val="00D668E6"/>
    <w:rsid w:val="00D66982"/>
    <w:rsid w:val="00D67F7E"/>
    <w:rsid w:val="00D70DFB"/>
    <w:rsid w:val="00D713F7"/>
    <w:rsid w:val="00D721CB"/>
    <w:rsid w:val="00D72648"/>
    <w:rsid w:val="00D729BD"/>
    <w:rsid w:val="00D7332E"/>
    <w:rsid w:val="00D7340D"/>
    <w:rsid w:val="00D73BB3"/>
    <w:rsid w:val="00D73CCD"/>
    <w:rsid w:val="00D74401"/>
    <w:rsid w:val="00D74A8B"/>
    <w:rsid w:val="00D750DC"/>
    <w:rsid w:val="00D75329"/>
    <w:rsid w:val="00D75759"/>
    <w:rsid w:val="00D75832"/>
    <w:rsid w:val="00D75A3B"/>
    <w:rsid w:val="00D75B76"/>
    <w:rsid w:val="00D75F29"/>
    <w:rsid w:val="00D768CE"/>
    <w:rsid w:val="00D76A56"/>
    <w:rsid w:val="00D7771F"/>
    <w:rsid w:val="00D77F63"/>
    <w:rsid w:val="00D80395"/>
    <w:rsid w:val="00D80B54"/>
    <w:rsid w:val="00D81013"/>
    <w:rsid w:val="00D819EB"/>
    <w:rsid w:val="00D81C73"/>
    <w:rsid w:val="00D81CF6"/>
    <w:rsid w:val="00D81FEF"/>
    <w:rsid w:val="00D821DD"/>
    <w:rsid w:val="00D82634"/>
    <w:rsid w:val="00D830ED"/>
    <w:rsid w:val="00D831C2"/>
    <w:rsid w:val="00D83923"/>
    <w:rsid w:val="00D83987"/>
    <w:rsid w:val="00D84182"/>
    <w:rsid w:val="00D84277"/>
    <w:rsid w:val="00D845D3"/>
    <w:rsid w:val="00D849F6"/>
    <w:rsid w:val="00D84DE0"/>
    <w:rsid w:val="00D84F77"/>
    <w:rsid w:val="00D8551B"/>
    <w:rsid w:val="00D855C8"/>
    <w:rsid w:val="00D8703E"/>
    <w:rsid w:val="00D870CE"/>
    <w:rsid w:val="00D871B1"/>
    <w:rsid w:val="00D87AC4"/>
    <w:rsid w:val="00D87C2A"/>
    <w:rsid w:val="00D905B4"/>
    <w:rsid w:val="00D91614"/>
    <w:rsid w:val="00D92212"/>
    <w:rsid w:val="00D92230"/>
    <w:rsid w:val="00D92D1D"/>
    <w:rsid w:val="00D93305"/>
    <w:rsid w:val="00D9341C"/>
    <w:rsid w:val="00D9412D"/>
    <w:rsid w:val="00D9419D"/>
    <w:rsid w:val="00D943D6"/>
    <w:rsid w:val="00D947C6"/>
    <w:rsid w:val="00D94A45"/>
    <w:rsid w:val="00D95254"/>
    <w:rsid w:val="00D953DC"/>
    <w:rsid w:val="00D95658"/>
    <w:rsid w:val="00D95BDF"/>
    <w:rsid w:val="00D95D39"/>
    <w:rsid w:val="00D9637D"/>
    <w:rsid w:val="00D96D91"/>
    <w:rsid w:val="00D97074"/>
    <w:rsid w:val="00D9781B"/>
    <w:rsid w:val="00D97D10"/>
    <w:rsid w:val="00DA006F"/>
    <w:rsid w:val="00DA030D"/>
    <w:rsid w:val="00DA0670"/>
    <w:rsid w:val="00DA0705"/>
    <w:rsid w:val="00DA0A0F"/>
    <w:rsid w:val="00DA0E51"/>
    <w:rsid w:val="00DA0FFB"/>
    <w:rsid w:val="00DA14C9"/>
    <w:rsid w:val="00DA2985"/>
    <w:rsid w:val="00DA2E4F"/>
    <w:rsid w:val="00DA45DD"/>
    <w:rsid w:val="00DA4E65"/>
    <w:rsid w:val="00DA522D"/>
    <w:rsid w:val="00DA5692"/>
    <w:rsid w:val="00DA57FC"/>
    <w:rsid w:val="00DA5CEA"/>
    <w:rsid w:val="00DA60FB"/>
    <w:rsid w:val="00DA6416"/>
    <w:rsid w:val="00DA675E"/>
    <w:rsid w:val="00DA6873"/>
    <w:rsid w:val="00DA6875"/>
    <w:rsid w:val="00DA6C55"/>
    <w:rsid w:val="00DA6D09"/>
    <w:rsid w:val="00DA6D6B"/>
    <w:rsid w:val="00DA7B5D"/>
    <w:rsid w:val="00DB103D"/>
    <w:rsid w:val="00DB137C"/>
    <w:rsid w:val="00DB278F"/>
    <w:rsid w:val="00DB2D18"/>
    <w:rsid w:val="00DB2DDA"/>
    <w:rsid w:val="00DB32F0"/>
    <w:rsid w:val="00DB3689"/>
    <w:rsid w:val="00DB45C3"/>
    <w:rsid w:val="00DB4617"/>
    <w:rsid w:val="00DB4FD2"/>
    <w:rsid w:val="00DB59F5"/>
    <w:rsid w:val="00DB680C"/>
    <w:rsid w:val="00DB6AE6"/>
    <w:rsid w:val="00DB6B96"/>
    <w:rsid w:val="00DB6E64"/>
    <w:rsid w:val="00DB6E9C"/>
    <w:rsid w:val="00DB72C9"/>
    <w:rsid w:val="00DB7BF1"/>
    <w:rsid w:val="00DC03FE"/>
    <w:rsid w:val="00DC0997"/>
    <w:rsid w:val="00DC0B04"/>
    <w:rsid w:val="00DC0D1D"/>
    <w:rsid w:val="00DC11F6"/>
    <w:rsid w:val="00DC13B4"/>
    <w:rsid w:val="00DC258C"/>
    <w:rsid w:val="00DC2DA0"/>
    <w:rsid w:val="00DC3020"/>
    <w:rsid w:val="00DC3D8D"/>
    <w:rsid w:val="00DC3DE7"/>
    <w:rsid w:val="00DC464B"/>
    <w:rsid w:val="00DC4A93"/>
    <w:rsid w:val="00DC5360"/>
    <w:rsid w:val="00DC5C0C"/>
    <w:rsid w:val="00DC6A59"/>
    <w:rsid w:val="00DC74AA"/>
    <w:rsid w:val="00DC7777"/>
    <w:rsid w:val="00DC7ADD"/>
    <w:rsid w:val="00DD0CA5"/>
    <w:rsid w:val="00DD1088"/>
    <w:rsid w:val="00DD198F"/>
    <w:rsid w:val="00DD1BBF"/>
    <w:rsid w:val="00DD1CB8"/>
    <w:rsid w:val="00DD1DC6"/>
    <w:rsid w:val="00DD20C7"/>
    <w:rsid w:val="00DD2A83"/>
    <w:rsid w:val="00DD2CAE"/>
    <w:rsid w:val="00DD2F5E"/>
    <w:rsid w:val="00DD317C"/>
    <w:rsid w:val="00DD41FD"/>
    <w:rsid w:val="00DD4274"/>
    <w:rsid w:val="00DD4568"/>
    <w:rsid w:val="00DD470E"/>
    <w:rsid w:val="00DD5925"/>
    <w:rsid w:val="00DD5BB4"/>
    <w:rsid w:val="00DD662E"/>
    <w:rsid w:val="00DD70AE"/>
    <w:rsid w:val="00DD7103"/>
    <w:rsid w:val="00DD710A"/>
    <w:rsid w:val="00DD73C2"/>
    <w:rsid w:val="00DD73FC"/>
    <w:rsid w:val="00DD78F8"/>
    <w:rsid w:val="00DD7A8A"/>
    <w:rsid w:val="00DD7AB9"/>
    <w:rsid w:val="00DE072E"/>
    <w:rsid w:val="00DE0952"/>
    <w:rsid w:val="00DE0BF0"/>
    <w:rsid w:val="00DE19AD"/>
    <w:rsid w:val="00DE1C72"/>
    <w:rsid w:val="00DE2CEA"/>
    <w:rsid w:val="00DE34A8"/>
    <w:rsid w:val="00DE432E"/>
    <w:rsid w:val="00DE44E0"/>
    <w:rsid w:val="00DE46F0"/>
    <w:rsid w:val="00DE48CE"/>
    <w:rsid w:val="00DE4D4C"/>
    <w:rsid w:val="00DE52C1"/>
    <w:rsid w:val="00DE5B0D"/>
    <w:rsid w:val="00DE62B2"/>
    <w:rsid w:val="00DE6428"/>
    <w:rsid w:val="00DE6881"/>
    <w:rsid w:val="00DE695F"/>
    <w:rsid w:val="00DE6BC1"/>
    <w:rsid w:val="00DE6E3E"/>
    <w:rsid w:val="00DE6E5B"/>
    <w:rsid w:val="00DE79BD"/>
    <w:rsid w:val="00DF0385"/>
    <w:rsid w:val="00DF0AC6"/>
    <w:rsid w:val="00DF0BC3"/>
    <w:rsid w:val="00DF1617"/>
    <w:rsid w:val="00DF1DC7"/>
    <w:rsid w:val="00DF1FCC"/>
    <w:rsid w:val="00DF25BF"/>
    <w:rsid w:val="00DF273D"/>
    <w:rsid w:val="00DF2B3A"/>
    <w:rsid w:val="00DF2D77"/>
    <w:rsid w:val="00DF2E49"/>
    <w:rsid w:val="00DF371B"/>
    <w:rsid w:val="00DF37E1"/>
    <w:rsid w:val="00DF38A5"/>
    <w:rsid w:val="00DF3A50"/>
    <w:rsid w:val="00DF4366"/>
    <w:rsid w:val="00DF43A7"/>
    <w:rsid w:val="00DF4E3E"/>
    <w:rsid w:val="00DF52A8"/>
    <w:rsid w:val="00DF5427"/>
    <w:rsid w:val="00DF54BC"/>
    <w:rsid w:val="00DF54FD"/>
    <w:rsid w:val="00DF5542"/>
    <w:rsid w:val="00DF5BB7"/>
    <w:rsid w:val="00DF5EA1"/>
    <w:rsid w:val="00DF6863"/>
    <w:rsid w:val="00DF6F4A"/>
    <w:rsid w:val="00DF75A2"/>
    <w:rsid w:val="00DF77DB"/>
    <w:rsid w:val="00E0050C"/>
    <w:rsid w:val="00E00669"/>
    <w:rsid w:val="00E0141F"/>
    <w:rsid w:val="00E015EA"/>
    <w:rsid w:val="00E01993"/>
    <w:rsid w:val="00E01A77"/>
    <w:rsid w:val="00E02002"/>
    <w:rsid w:val="00E02EA4"/>
    <w:rsid w:val="00E02F39"/>
    <w:rsid w:val="00E03000"/>
    <w:rsid w:val="00E037C3"/>
    <w:rsid w:val="00E03829"/>
    <w:rsid w:val="00E0453D"/>
    <w:rsid w:val="00E045E6"/>
    <w:rsid w:val="00E047DA"/>
    <w:rsid w:val="00E04B51"/>
    <w:rsid w:val="00E04D5D"/>
    <w:rsid w:val="00E052CB"/>
    <w:rsid w:val="00E05FA6"/>
    <w:rsid w:val="00E0619F"/>
    <w:rsid w:val="00E063DE"/>
    <w:rsid w:val="00E0663A"/>
    <w:rsid w:val="00E070DD"/>
    <w:rsid w:val="00E0741B"/>
    <w:rsid w:val="00E07447"/>
    <w:rsid w:val="00E0751B"/>
    <w:rsid w:val="00E100AA"/>
    <w:rsid w:val="00E10364"/>
    <w:rsid w:val="00E10B6C"/>
    <w:rsid w:val="00E10C15"/>
    <w:rsid w:val="00E11160"/>
    <w:rsid w:val="00E11CC5"/>
    <w:rsid w:val="00E138D4"/>
    <w:rsid w:val="00E140B4"/>
    <w:rsid w:val="00E14543"/>
    <w:rsid w:val="00E149F0"/>
    <w:rsid w:val="00E14C4E"/>
    <w:rsid w:val="00E1562A"/>
    <w:rsid w:val="00E162D3"/>
    <w:rsid w:val="00E176D0"/>
    <w:rsid w:val="00E17CB1"/>
    <w:rsid w:val="00E17CFE"/>
    <w:rsid w:val="00E203B7"/>
    <w:rsid w:val="00E205A3"/>
    <w:rsid w:val="00E205AD"/>
    <w:rsid w:val="00E2183E"/>
    <w:rsid w:val="00E2212C"/>
    <w:rsid w:val="00E22F1D"/>
    <w:rsid w:val="00E22F8D"/>
    <w:rsid w:val="00E24380"/>
    <w:rsid w:val="00E247C2"/>
    <w:rsid w:val="00E2481A"/>
    <w:rsid w:val="00E24B1D"/>
    <w:rsid w:val="00E24BC4"/>
    <w:rsid w:val="00E25474"/>
    <w:rsid w:val="00E259F2"/>
    <w:rsid w:val="00E26693"/>
    <w:rsid w:val="00E2671D"/>
    <w:rsid w:val="00E2691F"/>
    <w:rsid w:val="00E26DC3"/>
    <w:rsid w:val="00E26EB7"/>
    <w:rsid w:val="00E272F4"/>
    <w:rsid w:val="00E276CC"/>
    <w:rsid w:val="00E279F1"/>
    <w:rsid w:val="00E27C58"/>
    <w:rsid w:val="00E30089"/>
    <w:rsid w:val="00E30270"/>
    <w:rsid w:val="00E3048F"/>
    <w:rsid w:val="00E30B60"/>
    <w:rsid w:val="00E30E6F"/>
    <w:rsid w:val="00E31248"/>
    <w:rsid w:val="00E313E4"/>
    <w:rsid w:val="00E31490"/>
    <w:rsid w:val="00E31822"/>
    <w:rsid w:val="00E31F3E"/>
    <w:rsid w:val="00E32F93"/>
    <w:rsid w:val="00E330CC"/>
    <w:rsid w:val="00E335DC"/>
    <w:rsid w:val="00E3402E"/>
    <w:rsid w:val="00E34598"/>
    <w:rsid w:val="00E34A10"/>
    <w:rsid w:val="00E34F41"/>
    <w:rsid w:val="00E35495"/>
    <w:rsid w:val="00E35A20"/>
    <w:rsid w:val="00E3652F"/>
    <w:rsid w:val="00E3664E"/>
    <w:rsid w:val="00E369E9"/>
    <w:rsid w:val="00E36A9E"/>
    <w:rsid w:val="00E36B48"/>
    <w:rsid w:val="00E36D5A"/>
    <w:rsid w:val="00E37A0B"/>
    <w:rsid w:val="00E37D72"/>
    <w:rsid w:val="00E37E73"/>
    <w:rsid w:val="00E40067"/>
    <w:rsid w:val="00E402C4"/>
    <w:rsid w:val="00E408AA"/>
    <w:rsid w:val="00E40BBF"/>
    <w:rsid w:val="00E40F25"/>
    <w:rsid w:val="00E41071"/>
    <w:rsid w:val="00E410DB"/>
    <w:rsid w:val="00E411D2"/>
    <w:rsid w:val="00E412C6"/>
    <w:rsid w:val="00E41601"/>
    <w:rsid w:val="00E41C3F"/>
    <w:rsid w:val="00E41CD3"/>
    <w:rsid w:val="00E41DAC"/>
    <w:rsid w:val="00E441CC"/>
    <w:rsid w:val="00E44436"/>
    <w:rsid w:val="00E45144"/>
    <w:rsid w:val="00E459DC"/>
    <w:rsid w:val="00E4626F"/>
    <w:rsid w:val="00E464E6"/>
    <w:rsid w:val="00E46A52"/>
    <w:rsid w:val="00E46CB7"/>
    <w:rsid w:val="00E46D40"/>
    <w:rsid w:val="00E470A2"/>
    <w:rsid w:val="00E50709"/>
    <w:rsid w:val="00E50900"/>
    <w:rsid w:val="00E50DAC"/>
    <w:rsid w:val="00E51146"/>
    <w:rsid w:val="00E517CC"/>
    <w:rsid w:val="00E51EF4"/>
    <w:rsid w:val="00E522CE"/>
    <w:rsid w:val="00E5262B"/>
    <w:rsid w:val="00E529AE"/>
    <w:rsid w:val="00E52B0A"/>
    <w:rsid w:val="00E52E14"/>
    <w:rsid w:val="00E5337E"/>
    <w:rsid w:val="00E5378A"/>
    <w:rsid w:val="00E542C7"/>
    <w:rsid w:val="00E5453A"/>
    <w:rsid w:val="00E54732"/>
    <w:rsid w:val="00E54B2B"/>
    <w:rsid w:val="00E55070"/>
    <w:rsid w:val="00E551DD"/>
    <w:rsid w:val="00E558E9"/>
    <w:rsid w:val="00E55B76"/>
    <w:rsid w:val="00E55D9B"/>
    <w:rsid w:val="00E607D2"/>
    <w:rsid w:val="00E60CE0"/>
    <w:rsid w:val="00E613CA"/>
    <w:rsid w:val="00E6149C"/>
    <w:rsid w:val="00E6245D"/>
    <w:rsid w:val="00E62A33"/>
    <w:rsid w:val="00E63030"/>
    <w:rsid w:val="00E63A22"/>
    <w:rsid w:val="00E63DC3"/>
    <w:rsid w:val="00E63E72"/>
    <w:rsid w:val="00E64ECF"/>
    <w:rsid w:val="00E64FC4"/>
    <w:rsid w:val="00E65C95"/>
    <w:rsid w:val="00E65D6B"/>
    <w:rsid w:val="00E6657F"/>
    <w:rsid w:val="00E670C3"/>
    <w:rsid w:val="00E67A81"/>
    <w:rsid w:val="00E703F2"/>
    <w:rsid w:val="00E707DB"/>
    <w:rsid w:val="00E70FF0"/>
    <w:rsid w:val="00E711E6"/>
    <w:rsid w:val="00E71ACC"/>
    <w:rsid w:val="00E72B0B"/>
    <w:rsid w:val="00E730A6"/>
    <w:rsid w:val="00E745D4"/>
    <w:rsid w:val="00E74F7E"/>
    <w:rsid w:val="00E750F5"/>
    <w:rsid w:val="00E75F0B"/>
    <w:rsid w:val="00E77074"/>
    <w:rsid w:val="00E80472"/>
    <w:rsid w:val="00E8048F"/>
    <w:rsid w:val="00E80B5B"/>
    <w:rsid w:val="00E80FAB"/>
    <w:rsid w:val="00E8145C"/>
    <w:rsid w:val="00E81D21"/>
    <w:rsid w:val="00E81DD0"/>
    <w:rsid w:val="00E82552"/>
    <w:rsid w:val="00E82657"/>
    <w:rsid w:val="00E834B0"/>
    <w:rsid w:val="00E83B63"/>
    <w:rsid w:val="00E83EAC"/>
    <w:rsid w:val="00E8465A"/>
    <w:rsid w:val="00E85285"/>
    <w:rsid w:val="00E85912"/>
    <w:rsid w:val="00E85CAE"/>
    <w:rsid w:val="00E85DB2"/>
    <w:rsid w:val="00E85FE7"/>
    <w:rsid w:val="00E8614C"/>
    <w:rsid w:val="00E86707"/>
    <w:rsid w:val="00E86AE5"/>
    <w:rsid w:val="00E87305"/>
    <w:rsid w:val="00E87F9E"/>
    <w:rsid w:val="00E900B3"/>
    <w:rsid w:val="00E90483"/>
    <w:rsid w:val="00E905D7"/>
    <w:rsid w:val="00E911CD"/>
    <w:rsid w:val="00E91628"/>
    <w:rsid w:val="00E9170A"/>
    <w:rsid w:val="00E91725"/>
    <w:rsid w:val="00E91761"/>
    <w:rsid w:val="00E91990"/>
    <w:rsid w:val="00E91C0C"/>
    <w:rsid w:val="00E927FE"/>
    <w:rsid w:val="00E92D81"/>
    <w:rsid w:val="00E92E15"/>
    <w:rsid w:val="00E9327D"/>
    <w:rsid w:val="00E9386E"/>
    <w:rsid w:val="00E93A75"/>
    <w:rsid w:val="00E93C2A"/>
    <w:rsid w:val="00E93ED5"/>
    <w:rsid w:val="00E93F74"/>
    <w:rsid w:val="00E945A8"/>
    <w:rsid w:val="00E955B6"/>
    <w:rsid w:val="00E9618F"/>
    <w:rsid w:val="00E96565"/>
    <w:rsid w:val="00E9680D"/>
    <w:rsid w:val="00E96D42"/>
    <w:rsid w:val="00E9715F"/>
    <w:rsid w:val="00E971CC"/>
    <w:rsid w:val="00E97392"/>
    <w:rsid w:val="00E97B70"/>
    <w:rsid w:val="00EA0151"/>
    <w:rsid w:val="00EA06C7"/>
    <w:rsid w:val="00EA0AF6"/>
    <w:rsid w:val="00EA0CF3"/>
    <w:rsid w:val="00EA0DA1"/>
    <w:rsid w:val="00EA1943"/>
    <w:rsid w:val="00EA21F9"/>
    <w:rsid w:val="00EA2A8F"/>
    <w:rsid w:val="00EA312F"/>
    <w:rsid w:val="00EA4209"/>
    <w:rsid w:val="00EA4390"/>
    <w:rsid w:val="00EA45E6"/>
    <w:rsid w:val="00EA4CBA"/>
    <w:rsid w:val="00EA5A69"/>
    <w:rsid w:val="00EA5F0C"/>
    <w:rsid w:val="00EA6088"/>
    <w:rsid w:val="00EA619E"/>
    <w:rsid w:val="00EA636E"/>
    <w:rsid w:val="00EA63A9"/>
    <w:rsid w:val="00EA65F5"/>
    <w:rsid w:val="00EA6689"/>
    <w:rsid w:val="00EA733C"/>
    <w:rsid w:val="00EA7368"/>
    <w:rsid w:val="00EA74CF"/>
    <w:rsid w:val="00EA7AE2"/>
    <w:rsid w:val="00EA7BE7"/>
    <w:rsid w:val="00EA7C8B"/>
    <w:rsid w:val="00EB07A5"/>
    <w:rsid w:val="00EB07CB"/>
    <w:rsid w:val="00EB101A"/>
    <w:rsid w:val="00EB112D"/>
    <w:rsid w:val="00EB16BB"/>
    <w:rsid w:val="00EB177B"/>
    <w:rsid w:val="00EB1840"/>
    <w:rsid w:val="00EB1D9D"/>
    <w:rsid w:val="00EB1FC1"/>
    <w:rsid w:val="00EB359D"/>
    <w:rsid w:val="00EB3A81"/>
    <w:rsid w:val="00EB4648"/>
    <w:rsid w:val="00EB4656"/>
    <w:rsid w:val="00EB4731"/>
    <w:rsid w:val="00EB4A37"/>
    <w:rsid w:val="00EB51B6"/>
    <w:rsid w:val="00EB522E"/>
    <w:rsid w:val="00EB5620"/>
    <w:rsid w:val="00EB6454"/>
    <w:rsid w:val="00EB6734"/>
    <w:rsid w:val="00EB6AE7"/>
    <w:rsid w:val="00EB6E7D"/>
    <w:rsid w:val="00EB71F2"/>
    <w:rsid w:val="00EB791A"/>
    <w:rsid w:val="00EC0416"/>
    <w:rsid w:val="00EC04B5"/>
    <w:rsid w:val="00EC07D9"/>
    <w:rsid w:val="00EC0A74"/>
    <w:rsid w:val="00EC1236"/>
    <w:rsid w:val="00EC137D"/>
    <w:rsid w:val="00EC151C"/>
    <w:rsid w:val="00EC18C6"/>
    <w:rsid w:val="00EC1B19"/>
    <w:rsid w:val="00EC1BAC"/>
    <w:rsid w:val="00EC21B9"/>
    <w:rsid w:val="00EC2284"/>
    <w:rsid w:val="00EC26CC"/>
    <w:rsid w:val="00EC2A12"/>
    <w:rsid w:val="00EC2ECC"/>
    <w:rsid w:val="00EC3757"/>
    <w:rsid w:val="00EC4E7E"/>
    <w:rsid w:val="00EC5C3C"/>
    <w:rsid w:val="00EC5D6B"/>
    <w:rsid w:val="00EC6C4B"/>
    <w:rsid w:val="00EC7352"/>
    <w:rsid w:val="00EC73BB"/>
    <w:rsid w:val="00EC7ED3"/>
    <w:rsid w:val="00ED06E0"/>
    <w:rsid w:val="00ED1EE5"/>
    <w:rsid w:val="00ED32B2"/>
    <w:rsid w:val="00ED3314"/>
    <w:rsid w:val="00ED3785"/>
    <w:rsid w:val="00ED3A6A"/>
    <w:rsid w:val="00ED4421"/>
    <w:rsid w:val="00ED4967"/>
    <w:rsid w:val="00ED4EC5"/>
    <w:rsid w:val="00ED4F64"/>
    <w:rsid w:val="00ED53DB"/>
    <w:rsid w:val="00ED598A"/>
    <w:rsid w:val="00ED59DE"/>
    <w:rsid w:val="00ED5A0E"/>
    <w:rsid w:val="00ED5B7E"/>
    <w:rsid w:val="00ED5FD2"/>
    <w:rsid w:val="00ED62F3"/>
    <w:rsid w:val="00ED684A"/>
    <w:rsid w:val="00ED7193"/>
    <w:rsid w:val="00ED7DAE"/>
    <w:rsid w:val="00EE0194"/>
    <w:rsid w:val="00EE060D"/>
    <w:rsid w:val="00EE0A36"/>
    <w:rsid w:val="00EE0C06"/>
    <w:rsid w:val="00EE0FB7"/>
    <w:rsid w:val="00EE188F"/>
    <w:rsid w:val="00EE1CCE"/>
    <w:rsid w:val="00EE274C"/>
    <w:rsid w:val="00EE2D1D"/>
    <w:rsid w:val="00EE3B62"/>
    <w:rsid w:val="00EE3E5B"/>
    <w:rsid w:val="00EE3F5E"/>
    <w:rsid w:val="00EE443D"/>
    <w:rsid w:val="00EE4F33"/>
    <w:rsid w:val="00EE5312"/>
    <w:rsid w:val="00EE5466"/>
    <w:rsid w:val="00EE6331"/>
    <w:rsid w:val="00EE6640"/>
    <w:rsid w:val="00EE6F14"/>
    <w:rsid w:val="00EE72FC"/>
    <w:rsid w:val="00EF01CC"/>
    <w:rsid w:val="00EF04D6"/>
    <w:rsid w:val="00EF0D26"/>
    <w:rsid w:val="00EF0F33"/>
    <w:rsid w:val="00EF13B5"/>
    <w:rsid w:val="00EF17BD"/>
    <w:rsid w:val="00EF1BAA"/>
    <w:rsid w:val="00EF2D27"/>
    <w:rsid w:val="00EF2EC0"/>
    <w:rsid w:val="00EF39B1"/>
    <w:rsid w:val="00EF3C43"/>
    <w:rsid w:val="00EF3D11"/>
    <w:rsid w:val="00EF3D6F"/>
    <w:rsid w:val="00EF3F23"/>
    <w:rsid w:val="00EF4705"/>
    <w:rsid w:val="00EF4AE3"/>
    <w:rsid w:val="00EF4DC6"/>
    <w:rsid w:val="00EF5172"/>
    <w:rsid w:val="00EF518B"/>
    <w:rsid w:val="00EF5962"/>
    <w:rsid w:val="00EF5ADB"/>
    <w:rsid w:val="00EF635E"/>
    <w:rsid w:val="00EF797C"/>
    <w:rsid w:val="00EF7BDB"/>
    <w:rsid w:val="00F000C3"/>
    <w:rsid w:val="00F00300"/>
    <w:rsid w:val="00F007BC"/>
    <w:rsid w:val="00F0146B"/>
    <w:rsid w:val="00F0193F"/>
    <w:rsid w:val="00F01D39"/>
    <w:rsid w:val="00F02065"/>
    <w:rsid w:val="00F02378"/>
    <w:rsid w:val="00F026C3"/>
    <w:rsid w:val="00F0281C"/>
    <w:rsid w:val="00F02A9B"/>
    <w:rsid w:val="00F02D33"/>
    <w:rsid w:val="00F02E88"/>
    <w:rsid w:val="00F03107"/>
    <w:rsid w:val="00F04071"/>
    <w:rsid w:val="00F04F4A"/>
    <w:rsid w:val="00F05486"/>
    <w:rsid w:val="00F056A3"/>
    <w:rsid w:val="00F0603B"/>
    <w:rsid w:val="00F064F1"/>
    <w:rsid w:val="00F065D9"/>
    <w:rsid w:val="00F066A2"/>
    <w:rsid w:val="00F0682E"/>
    <w:rsid w:val="00F06BC1"/>
    <w:rsid w:val="00F06CBC"/>
    <w:rsid w:val="00F078D3"/>
    <w:rsid w:val="00F07936"/>
    <w:rsid w:val="00F07A60"/>
    <w:rsid w:val="00F07C11"/>
    <w:rsid w:val="00F10935"/>
    <w:rsid w:val="00F115AA"/>
    <w:rsid w:val="00F115BC"/>
    <w:rsid w:val="00F11C37"/>
    <w:rsid w:val="00F12132"/>
    <w:rsid w:val="00F12871"/>
    <w:rsid w:val="00F12A50"/>
    <w:rsid w:val="00F12C12"/>
    <w:rsid w:val="00F1330F"/>
    <w:rsid w:val="00F133F1"/>
    <w:rsid w:val="00F13EAB"/>
    <w:rsid w:val="00F1467B"/>
    <w:rsid w:val="00F14FF3"/>
    <w:rsid w:val="00F15682"/>
    <w:rsid w:val="00F16216"/>
    <w:rsid w:val="00F162D4"/>
    <w:rsid w:val="00F16CF6"/>
    <w:rsid w:val="00F16E81"/>
    <w:rsid w:val="00F17184"/>
    <w:rsid w:val="00F1731C"/>
    <w:rsid w:val="00F175E0"/>
    <w:rsid w:val="00F17712"/>
    <w:rsid w:val="00F17813"/>
    <w:rsid w:val="00F17BF0"/>
    <w:rsid w:val="00F17D55"/>
    <w:rsid w:val="00F20121"/>
    <w:rsid w:val="00F203CA"/>
    <w:rsid w:val="00F21668"/>
    <w:rsid w:val="00F21DB9"/>
    <w:rsid w:val="00F22405"/>
    <w:rsid w:val="00F22D24"/>
    <w:rsid w:val="00F22D27"/>
    <w:rsid w:val="00F23926"/>
    <w:rsid w:val="00F23A21"/>
    <w:rsid w:val="00F2438B"/>
    <w:rsid w:val="00F25128"/>
    <w:rsid w:val="00F2549B"/>
    <w:rsid w:val="00F2567B"/>
    <w:rsid w:val="00F25680"/>
    <w:rsid w:val="00F264B5"/>
    <w:rsid w:val="00F265C0"/>
    <w:rsid w:val="00F26AA8"/>
    <w:rsid w:val="00F27149"/>
    <w:rsid w:val="00F27B35"/>
    <w:rsid w:val="00F30147"/>
    <w:rsid w:val="00F301B5"/>
    <w:rsid w:val="00F30286"/>
    <w:rsid w:val="00F30446"/>
    <w:rsid w:val="00F30498"/>
    <w:rsid w:val="00F3081E"/>
    <w:rsid w:val="00F30D66"/>
    <w:rsid w:val="00F316F8"/>
    <w:rsid w:val="00F3174E"/>
    <w:rsid w:val="00F31BF7"/>
    <w:rsid w:val="00F31CBC"/>
    <w:rsid w:val="00F31E4B"/>
    <w:rsid w:val="00F32FC3"/>
    <w:rsid w:val="00F3307B"/>
    <w:rsid w:val="00F336B3"/>
    <w:rsid w:val="00F33AA5"/>
    <w:rsid w:val="00F34C57"/>
    <w:rsid w:val="00F35AA8"/>
    <w:rsid w:val="00F35BCB"/>
    <w:rsid w:val="00F36C11"/>
    <w:rsid w:val="00F36FDC"/>
    <w:rsid w:val="00F370B2"/>
    <w:rsid w:val="00F37560"/>
    <w:rsid w:val="00F4010B"/>
    <w:rsid w:val="00F40A10"/>
    <w:rsid w:val="00F41139"/>
    <w:rsid w:val="00F41793"/>
    <w:rsid w:val="00F41C87"/>
    <w:rsid w:val="00F41CC1"/>
    <w:rsid w:val="00F41E3D"/>
    <w:rsid w:val="00F41F3A"/>
    <w:rsid w:val="00F4225C"/>
    <w:rsid w:val="00F42665"/>
    <w:rsid w:val="00F42BA4"/>
    <w:rsid w:val="00F42E19"/>
    <w:rsid w:val="00F42E7F"/>
    <w:rsid w:val="00F43D3B"/>
    <w:rsid w:val="00F44099"/>
    <w:rsid w:val="00F4413A"/>
    <w:rsid w:val="00F443A9"/>
    <w:rsid w:val="00F448A9"/>
    <w:rsid w:val="00F44B34"/>
    <w:rsid w:val="00F44B9D"/>
    <w:rsid w:val="00F44E66"/>
    <w:rsid w:val="00F44FC3"/>
    <w:rsid w:val="00F4533C"/>
    <w:rsid w:val="00F45401"/>
    <w:rsid w:val="00F45B1D"/>
    <w:rsid w:val="00F45B3F"/>
    <w:rsid w:val="00F4656F"/>
    <w:rsid w:val="00F465D8"/>
    <w:rsid w:val="00F46734"/>
    <w:rsid w:val="00F46CC7"/>
    <w:rsid w:val="00F46DF0"/>
    <w:rsid w:val="00F4702C"/>
    <w:rsid w:val="00F47686"/>
    <w:rsid w:val="00F4769C"/>
    <w:rsid w:val="00F505B8"/>
    <w:rsid w:val="00F515E0"/>
    <w:rsid w:val="00F520AB"/>
    <w:rsid w:val="00F52896"/>
    <w:rsid w:val="00F52E80"/>
    <w:rsid w:val="00F537A1"/>
    <w:rsid w:val="00F547DE"/>
    <w:rsid w:val="00F548A8"/>
    <w:rsid w:val="00F549C5"/>
    <w:rsid w:val="00F55030"/>
    <w:rsid w:val="00F55594"/>
    <w:rsid w:val="00F55975"/>
    <w:rsid w:val="00F56127"/>
    <w:rsid w:val="00F56A42"/>
    <w:rsid w:val="00F570BA"/>
    <w:rsid w:val="00F57F0B"/>
    <w:rsid w:val="00F600B1"/>
    <w:rsid w:val="00F6032B"/>
    <w:rsid w:val="00F6070B"/>
    <w:rsid w:val="00F609F3"/>
    <w:rsid w:val="00F60A59"/>
    <w:rsid w:val="00F61288"/>
    <w:rsid w:val="00F618E0"/>
    <w:rsid w:val="00F61A6A"/>
    <w:rsid w:val="00F61D13"/>
    <w:rsid w:val="00F6259B"/>
    <w:rsid w:val="00F627F7"/>
    <w:rsid w:val="00F62828"/>
    <w:rsid w:val="00F62BC8"/>
    <w:rsid w:val="00F62C25"/>
    <w:rsid w:val="00F62F3B"/>
    <w:rsid w:val="00F634E7"/>
    <w:rsid w:val="00F634F6"/>
    <w:rsid w:val="00F63B78"/>
    <w:rsid w:val="00F63E23"/>
    <w:rsid w:val="00F64070"/>
    <w:rsid w:val="00F6472D"/>
    <w:rsid w:val="00F64D69"/>
    <w:rsid w:val="00F6524E"/>
    <w:rsid w:val="00F6526D"/>
    <w:rsid w:val="00F657E5"/>
    <w:rsid w:val="00F65957"/>
    <w:rsid w:val="00F65BDB"/>
    <w:rsid w:val="00F65D7C"/>
    <w:rsid w:val="00F660C9"/>
    <w:rsid w:val="00F66536"/>
    <w:rsid w:val="00F6677C"/>
    <w:rsid w:val="00F66D25"/>
    <w:rsid w:val="00F67311"/>
    <w:rsid w:val="00F67327"/>
    <w:rsid w:val="00F70011"/>
    <w:rsid w:val="00F700DD"/>
    <w:rsid w:val="00F7064C"/>
    <w:rsid w:val="00F7074F"/>
    <w:rsid w:val="00F71800"/>
    <w:rsid w:val="00F71837"/>
    <w:rsid w:val="00F71A34"/>
    <w:rsid w:val="00F71AA9"/>
    <w:rsid w:val="00F71C04"/>
    <w:rsid w:val="00F71E5F"/>
    <w:rsid w:val="00F72028"/>
    <w:rsid w:val="00F7204E"/>
    <w:rsid w:val="00F7209C"/>
    <w:rsid w:val="00F7260B"/>
    <w:rsid w:val="00F72BE6"/>
    <w:rsid w:val="00F736B6"/>
    <w:rsid w:val="00F73A93"/>
    <w:rsid w:val="00F73EB8"/>
    <w:rsid w:val="00F7444D"/>
    <w:rsid w:val="00F74E1E"/>
    <w:rsid w:val="00F755A5"/>
    <w:rsid w:val="00F7582D"/>
    <w:rsid w:val="00F75C63"/>
    <w:rsid w:val="00F75EA7"/>
    <w:rsid w:val="00F7600D"/>
    <w:rsid w:val="00F76D41"/>
    <w:rsid w:val="00F76D67"/>
    <w:rsid w:val="00F77505"/>
    <w:rsid w:val="00F7768F"/>
    <w:rsid w:val="00F7784A"/>
    <w:rsid w:val="00F80169"/>
    <w:rsid w:val="00F8021F"/>
    <w:rsid w:val="00F8069F"/>
    <w:rsid w:val="00F80AD5"/>
    <w:rsid w:val="00F8107E"/>
    <w:rsid w:val="00F81834"/>
    <w:rsid w:val="00F82B21"/>
    <w:rsid w:val="00F82B37"/>
    <w:rsid w:val="00F82CA6"/>
    <w:rsid w:val="00F832A8"/>
    <w:rsid w:val="00F835D9"/>
    <w:rsid w:val="00F8361B"/>
    <w:rsid w:val="00F83876"/>
    <w:rsid w:val="00F83B74"/>
    <w:rsid w:val="00F83DAB"/>
    <w:rsid w:val="00F840DC"/>
    <w:rsid w:val="00F84215"/>
    <w:rsid w:val="00F847C1"/>
    <w:rsid w:val="00F8492A"/>
    <w:rsid w:val="00F84BDA"/>
    <w:rsid w:val="00F85296"/>
    <w:rsid w:val="00F85B39"/>
    <w:rsid w:val="00F85F5D"/>
    <w:rsid w:val="00F8787E"/>
    <w:rsid w:val="00F87B07"/>
    <w:rsid w:val="00F87C57"/>
    <w:rsid w:val="00F90413"/>
    <w:rsid w:val="00F9041B"/>
    <w:rsid w:val="00F9074B"/>
    <w:rsid w:val="00F90A1A"/>
    <w:rsid w:val="00F91036"/>
    <w:rsid w:val="00F91300"/>
    <w:rsid w:val="00F91E21"/>
    <w:rsid w:val="00F92499"/>
    <w:rsid w:val="00F9311C"/>
    <w:rsid w:val="00F9319D"/>
    <w:rsid w:val="00F93214"/>
    <w:rsid w:val="00F932A9"/>
    <w:rsid w:val="00F9335F"/>
    <w:rsid w:val="00F934EC"/>
    <w:rsid w:val="00F93B56"/>
    <w:rsid w:val="00F94599"/>
    <w:rsid w:val="00F9483B"/>
    <w:rsid w:val="00F94880"/>
    <w:rsid w:val="00F949E5"/>
    <w:rsid w:val="00F94BFA"/>
    <w:rsid w:val="00F94C90"/>
    <w:rsid w:val="00F95A91"/>
    <w:rsid w:val="00F96297"/>
    <w:rsid w:val="00F96542"/>
    <w:rsid w:val="00F96BF0"/>
    <w:rsid w:val="00F971A8"/>
    <w:rsid w:val="00F9779C"/>
    <w:rsid w:val="00F979ED"/>
    <w:rsid w:val="00FA001F"/>
    <w:rsid w:val="00FA0CB2"/>
    <w:rsid w:val="00FA0E08"/>
    <w:rsid w:val="00FA1034"/>
    <w:rsid w:val="00FA184E"/>
    <w:rsid w:val="00FA18D6"/>
    <w:rsid w:val="00FA1D6E"/>
    <w:rsid w:val="00FA2308"/>
    <w:rsid w:val="00FA24E0"/>
    <w:rsid w:val="00FA2C7F"/>
    <w:rsid w:val="00FA2E31"/>
    <w:rsid w:val="00FA2FEF"/>
    <w:rsid w:val="00FA332F"/>
    <w:rsid w:val="00FA373C"/>
    <w:rsid w:val="00FA37BA"/>
    <w:rsid w:val="00FA4385"/>
    <w:rsid w:val="00FA43C8"/>
    <w:rsid w:val="00FA44BB"/>
    <w:rsid w:val="00FA4635"/>
    <w:rsid w:val="00FA510E"/>
    <w:rsid w:val="00FA540C"/>
    <w:rsid w:val="00FA5551"/>
    <w:rsid w:val="00FA5815"/>
    <w:rsid w:val="00FA6871"/>
    <w:rsid w:val="00FA70D0"/>
    <w:rsid w:val="00FA797B"/>
    <w:rsid w:val="00FA7DBD"/>
    <w:rsid w:val="00FA7FC4"/>
    <w:rsid w:val="00FB026A"/>
    <w:rsid w:val="00FB0D65"/>
    <w:rsid w:val="00FB0DAE"/>
    <w:rsid w:val="00FB0DF4"/>
    <w:rsid w:val="00FB10EB"/>
    <w:rsid w:val="00FB1661"/>
    <w:rsid w:val="00FB3112"/>
    <w:rsid w:val="00FB3B01"/>
    <w:rsid w:val="00FB4642"/>
    <w:rsid w:val="00FB4991"/>
    <w:rsid w:val="00FB4A8A"/>
    <w:rsid w:val="00FB5272"/>
    <w:rsid w:val="00FB55DD"/>
    <w:rsid w:val="00FB65B4"/>
    <w:rsid w:val="00FB665E"/>
    <w:rsid w:val="00FB7521"/>
    <w:rsid w:val="00FB7EDC"/>
    <w:rsid w:val="00FC033E"/>
    <w:rsid w:val="00FC0746"/>
    <w:rsid w:val="00FC0857"/>
    <w:rsid w:val="00FC08E2"/>
    <w:rsid w:val="00FC09A8"/>
    <w:rsid w:val="00FC0B3E"/>
    <w:rsid w:val="00FC1234"/>
    <w:rsid w:val="00FC15EA"/>
    <w:rsid w:val="00FC17CF"/>
    <w:rsid w:val="00FC1DC8"/>
    <w:rsid w:val="00FC2A0F"/>
    <w:rsid w:val="00FC2B23"/>
    <w:rsid w:val="00FC2D8B"/>
    <w:rsid w:val="00FC31E7"/>
    <w:rsid w:val="00FC328E"/>
    <w:rsid w:val="00FC3964"/>
    <w:rsid w:val="00FC3D9F"/>
    <w:rsid w:val="00FC409E"/>
    <w:rsid w:val="00FC443B"/>
    <w:rsid w:val="00FC45F5"/>
    <w:rsid w:val="00FC4A63"/>
    <w:rsid w:val="00FC5318"/>
    <w:rsid w:val="00FC577E"/>
    <w:rsid w:val="00FC6EE1"/>
    <w:rsid w:val="00FC71B8"/>
    <w:rsid w:val="00FC77F1"/>
    <w:rsid w:val="00FD05AC"/>
    <w:rsid w:val="00FD0A80"/>
    <w:rsid w:val="00FD0B10"/>
    <w:rsid w:val="00FD0D2B"/>
    <w:rsid w:val="00FD0DF6"/>
    <w:rsid w:val="00FD285E"/>
    <w:rsid w:val="00FD2F14"/>
    <w:rsid w:val="00FD3306"/>
    <w:rsid w:val="00FD3377"/>
    <w:rsid w:val="00FD3906"/>
    <w:rsid w:val="00FD39E5"/>
    <w:rsid w:val="00FD3AC7"/>
    <w:rsid w:val="00FD3B16"/>
    <w:rsid w:val="00FD3BA7"/>
    <w:rsid w:val="00FD3CDD"/>
    <w:rsid w:val="00FD5B40"/>
    <w:rsid w:val="00FD6C95"/>
    <w:rsid w:val="00FD6DDC"/>
    <w:rsid w:val="00FD6DFA"/>
    <w:rsid w:val="00FD6EA5"/>
    <w:rsid w:val="00FD7681"/>
    <w:rsid w:val="00FD7703"/>
    <w:rsid w:val="00FD7884"/>
    <w:rsid w:val="00FD7945"/>
    <w:rsid w:val="00FE00F8"/>
    <w:rsid w:val="00FE11EF"/>
    <w:rsid w:val="00FE1489"/>
    <w:rsid w:val="00FE22F3"/>
    <w:rsid w:val="00FE2CCD"/>
    <w:rsid w:val="00FE334C"/>
    <w:rsid w:val="00FE3D6F"/>
    <w:rsid w:val="00FE423B"/>
    <w:rsid w:val="00FE5059"/>
    <w:rsid w:val="00FE51B7"/>
    <w:rsid w:val="00FE5616"/>
    <w:rsid w:val="00FE57D8"/>
    <w:rsid w:val="00FE5C54"/>
    <w:rsid w:val="00FE7188"/>
    <w:rsid w:val="00FE7DAA"/>
    <w:rsid w:val="00FE7EB2"/>
    <w:rsid w:val="00FF141A"/>
    <w:rsid w:val="00FF158E"/>
    <w:rsid w:val="00FF1A55"/>
    <w:rsid w:val="00FF1B50"/>
    <w:rsid w:val="00FF265E"/>
    <w:rsid w:val="00FF26DA"/>
    <w:rsid w:val="00FF2BE9"/>
    <w:rsid w:val="00FF3651"/>
    <w:rsid w:val="00FF37B5"/>
    <w:rsid w:val="00FF3D2A"/>
    <w:rsid w:val="00FF3FFC"/>
    <w:rsid w:val="00FF4626"/>
    <w:rsid w:val="00FF50E4"/>
    <w:rsid w:val="00FF5608"/>
    <w:rsid w:val="00FF565F"/>
    <w:rsid w:val="00FF57E0"/>
    <w:rsid w:val="00FF5FE8"/>
    <w:rsid w:val="00FF6982"/>
    <w:rsid w:val="00FF6BBC"/>
    <w:rsid w:val="00FF6E14"/>
    <w:rsid w:val="00FF72FB"/>
    <w:rsid w:val="00FF75E7"/>
    <w:rsid w:val="00FF7BF6"/>
    <w:rsid w:val="019EDF0F"/>
    <w:rsid w:val="01F01AD9"/>
    <w:rsid w:val="0240186E"/>
    <w:rsid w:val="06261036"/>
    <w:rsid w:val="063826D1"/>
    <w:rsid w:val="06576B3E"/>
    <w:rsid w:val="083B15EE"/>
    <w:rsid w:val="083D9366"/>
    <w:rsid w:val="0A13365A"/>
    <w:rsid w:val="0AECB125"/>
    <w:rsid w:val="0C043A16"/>
    <w:rsid w:val="0C0DA248"/>
    <w:rsid w:val="0CD51E9E"/>
    <w:rsid w:val="0E4574D5"/>
    <w:rsid w:val="0E52E80C"/>
    <w:rsid w:val="0E81787E"/>
    <w:rsid w:val="0F9DD009"/>
    <w:rsid w:val="10939AAB"/>
    <w:rsid w:val="11C57F14"/>
    <w:rsid w:val="1409E122"/>
    <w:rsid w:val="14734EAC"/>
    <w:rsid w:val="1764ADA6"/>
    <w:rsid w:val="185E4199"/>
    <w:rsid w:val="19A2EE73"/>
    <w:rsid w:val="1A8CA208"/>
    <w:rsid w:val="1B400A78"/>
    <w:rsid w:val="1C75953E"/>
    <w:rsid w:val="1CF9ABA7"/>
    <w:rsid w:val="1D48AAE9"/>
    <w:rsid w:val="1EEFBADF"/>
    <w:rsid w:val="1F37C406"/>
    <w:rsid w:val="1F69748C"/>
    <w:rsid w:val="20833557"/>
    <w:rsid w:val="209D321E"/>
    <w:rsid w:val="246769EB"/>
    <w:rsid w:val="26C5D07A"/>
    <w:rsid w:val="2897426F"/>
    <w:rsid w:val="29223D16"/>
    <w:rsid w:val="2C36583F"/>
    <w:rsid w:val="2E1AE072"/>
    <w:rsid w:val="2F7C6196"/>
    <w:rsid w:val="30AD374B"/>
    <w:rsid w:val="3142E283"/>
    <w:rsid w:val="315EB105"/>
    <w:rsid w:val="31A22AFE"/>
    <w:rsid w:val="33AACDAC"/>
    <w:rsid w:val="3408F814"/>
    <w:rsid w:val="342C7334"/>
    <w:rsid w:val="34952641"/>
    <w:rsid w:val="3529087C"/>
    <w:rsid w:val="353D6387"/>
    <w:rsid w:val="3541C7C5"/>
    <w:rsid w:val="36764439"/>
    <w:rsid w:val="37E2A47C"/>
    <w:rsid w:val="3876E4ED"/>
    <w:rsid w:val="388185F5"/>
    <w:rsid w:val="3894E36C"/>
    <w:rsid w:val="38F85D47"/>
    <w:rsid w:val="3ABEBDD5"/>
    <w:rsid w:val="3B24B84B"/>
    <w:rsid w:val="3C0A3B6B"/>
    <w:rsid w:val="3EF1608E"/>
    <w:rsid w:val="40B9E539"/>
    <w:rsid w:val="4147438B"/>
    <w:rsid w:val="476D656B"/>
    <w:rsid w:val="4BD3A3B5"/>
    <w:rsid w:val="4BE26470"/>
    <w:rsid w:val="4DFC22F1"/>
    <w:rsid w:val="50F27995"/>
    <w:rsid w:val="51390249"/>
    <w:rsid w:val="53121693"/>
    <w:rsid w:val="5422F24D"/>
    <w:rsid w:val="543B9094"/>
    <w:rsid w:val="54698AFA"/>
    <w:rsid w:val="5564D28F"/>
    <w:rsid w:val="559E7378"/>
    <w:rsid w:val="5669E9BE"/>
    <w:rsid w:val="57361218"/>
    <w:rsid w:val="584CA48D"/>
    <w:rsid w:val="588EB022"/>
    <w:rsid w:val="5960EE85"/>
    <w:rsid w:val="59B0B6A6"/>
    <w:rsid w:val="612D7B5B"/>
    <w:rsid w:val="624B1E90"/>
    <w:rsid w:val="62F5BA2E"/>
    <w:rsid w:val="6316D554"/>
    <w:rsid w:val="64B117D1"/>
    <w:rsid w:val="651DE637"/>
    <w:rsid w:val="65A0AD74"/>
    <w:rsid w:val="65B1FFD1"/>
    <w:rsid w:val="6743C683"/>
    <w:rsid w:val="67FC7BBB"/>
    <w:rsid w:val="69082F94"/>
    <w:rsid w:val="697F88F6"/>
    <w:rsid w:val="69850143"/>
    <w:rsid w:val="6A95C6D9"/>
    <w:rsid w:val="6B35279A"/>
    <w:rsid w:val="6CA83F80"/>
    <w:rsid w:val="6D6C8939"/>
    <w:rsid w:val="6DE759F6"/>
    <w:rsid w:val="6EDA1E4F"/>
    <w:rsid w:val="6F672FB7"/>
    <w:rsid w:val="7017251D"/>
    <w:rsid w:val="708057E2"/>
    <w:rsid w:val="72A5D1C5"/>
    <w:rsid w:val="72CA4502"/>
    <w:rsid w:val="7312E2BB"/>
    <w:rsid w:val="7321604E"/>
    <w:rsid w:val="74FBCE31"/>
    <w:rsid w:val="75017E03"/>
    <w:rsid w:val="758C15C6"/>
    <w:rsid w:val="77AE39AE"/>
    <w:rsid w:val="77BB9A91"/>
    <w:rsid w:val="7852FAF6"/>
    <w:rsid w:val="78F81649"/>
    <w:rsid w:val="7B1D5F40"/>
    <w:rsid w:val="7CAC66C6"/>
    <w:rsid w:val="7CE089E2"/>
    <w:rsid w:val="7D0A1BD6"/>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D624D"/>
  <w15:chartTrackingRefBased/>
  <w15:docId w15:val="{E0E98EE4-2DBF-446B-830C-558E87E0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33"/>
    <w:pPr>
      <w:spacing w:after="180"/>
    </w:pPr>
    <w:rPr>
      <w:sz w:val="18"/>
    </w:rPr>
  </w:style>
  <w:style w:type="paragraph" w:styleId="Heading1">
    <w:name w:val="heading 1"/>
    <w:aliases w:val="H1-no dt pt"/>
    <w:basedOn w:val="Normal"/>
    <w:next w:val="Normal"/>
    <w:link w:val="Heading1Char"/>
    <w:uiPriority w:val="9"/>
    <w:qFormat/>
    <w:rsid w:val="00AB2955"/>
    <w:pPr>
      <w:keepNext/>
      <w:keepLines/>
      <w:numPr>
        <w:numId w:val="42"/>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AB2955"/>
    <w:pPr>
      <w:keepNext/>
      <w:keepLines/>
      <w:numPr>
        <w:ilvl w:val="1"/>
        <w:numId w:val="42"/>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AB2955"/>
    <w:pPr>
      <w:keepNext/>
      <w:keepLines/>
      <w:numPr>
        <w:ilvl w:val="2"/>
        <w:numId w:val="42"/>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A014E5"/>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kern w:val="2"/>
      <w:sz w:val="28"/>
      <w:szCs w:val="28"/>
      <w14:ligatures w14:val="standardContextual"/>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AB3B45"/>
    <w:pPr>
      <w:numPr>
        <w:numId w:val="6"/>
      </w:numPr>
    </w:pPr>
  </w:style>
  <w:style w:type="paragraph" w:styleId="ListBullet2">
    <w:name w:val="List Bullet 2"/>
    <w:aliases w:val="List Bullet - Green"/>
    <w:basedOn w:val="Normal"/>
    <w:uiPriority w:val="99"/>
    <w:unhideWhenUsed/>
    <w:qFormat/>
    <w:rsid w:val="00FF1B50"/>
    <w:pPr>
      <w:numPr>
        <w:ilvl w:val="1"/>
        <w:numId w:val="6"/>
      </w:numPr>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AB2955"/>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AB2955"/>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6"/>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AB2955"/>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kern w:val="2"/>
      <w:sz w:val="20"/>
      <w:szCs w:val="18"/>
      <w14:ligatures w14:val="standardContextual"/>
    </w:rPr>
  </w:style>
  <w:style w:type="character" w:customStyle="1" w:styleId="Heading5Char">
    <w:name w:val="Heading 5 Char"/>
    <w:basedOn w:val="DefaultParagraphFont"/>
    <w:link w:val="Heading5"/>
    <w:uiPriority w:val="9"/>
    <w:rsid w:val="00A014E5"/>
    <w:rPr>
      <w:rFonts w:asciiTheme="majorHAnsi" w:eastAsiaTheme="majorEastAsia" w:hAnsiTheme="majorHAnsi" w:cstheme="majorBidi"/>
      <w:b/>
      <w:color w:val="2C4BA0" w:themeColor="accent1"/>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A93B6D"/>
    <w:pPr>
      <w:framePr w:wrap="around"/>
      <w:numPr>
        <w:numId w:val="18"/>
      </w:numPr>
      <w:spacing w:after="80"/>
    </w:pPr>
    <w:rPr>
      <w:b/>
      <w:color w:val="2C4BA0" w:themeColor="accent1"/>
    </w:rPr>
  </w:style>
  <w:style w:type="character" w:customStyle="1" w:styleId="Call-outboxChar">
    <w:name w:val="Call-out box Char"/>
    <w:basedOn w:val="DefaultParagraphFont"/>
    <w:link w:val="Call-outbox"/>
    <w:uiPriority w:val="15"/>
    <w:rsid w:val="006901EA"/>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A93B6D"/>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EA733C"/>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kern w:val="2"/>
      <w:sz w:val="28"/>
      <w:szCs w:val="26"/>
      <w14:ligatures w14:val="standardContextual"/>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SW Blue Table"/>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5C0C2B"/>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30"/>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497B5F"/>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kern w:val="2"/>
      <w:sz w:val="20"/>
      <w:szCs w:val="24"/>
      <w14:ligatures w14:val="standardContextual"/>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EF0F33"/>
    <w:pPr>
      <w:spacing w:after="40"/>
    </w:pPr>
    <w:rPr>
      <w:sz w:val="16"/>
      <w:szCs w:val="16"/>
    </w:rPr>
  </w:style>
  <w:style w:type="paragraph" w:customStyle="1" w:styleId="TableBullet">
    <w:name w:val="Table Bullet"/>
    <w:basedOn w:val="TableText"/>
    <w:link w:val="TableBulletChar"/>
    <w:qFormat/>
    <w:rsid w:val="00EF0F33"/>
    <w:pPr>
      <w:numPr>
        <w:ilvl w:val="1"/>
        <w:numId w:val="7"/>
      </w:numPr>
    </w:pPr>
  </w:style>
  <w:style w:type="character" w:customStyle="1" w:styleId="TableTextChar">
    <w:name w:val="Table Text Char"/>
    <w:basedOn w:val="DefaultParagraphFont"/>
    <w:link w:val="TableText"/>
    <w:uiPriority w:val="4"/>
    <w:rsid w:val="007074FE"/>
    <w:rPr>
      <w:kern w:val="2"/>
      <w:sz w:val="16"/>
      <w:szCs w:val="16"/>
      <w14:ligatures w14:val="standardContextual"/>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rsid w:val="007074FE"/>
    <w:rPr>
      <w:kern w:val="2"/>
      <w:sz w:val="16"/>
      <w:szCs w:val="16"/>
      <w14:ligatures w14:val="standardContextual"/>
    </w:rPr>
  </w:style>
  <w:style w:type="paragraph" w:customStyle="1" w:styleId="TableNumbers">
    <w:name w:val="Table Numbers"/>
    <w:basedOn w:val="TableText"/>
    <w:link w:val="TableNumbersChar"/>
    <w:uiPriority w:val="7"/>
    <w:qFormat/>
    <w:rsid w:val="00457A3F"/>
    <w:pPr>
      <w:numPr>
        <w:numId w:val="7"/>
      </w:numPr>
      <w:spacing w:before="60" w:after="60"/>
    </w:pPr>
  </w:style>
  <w:style w:type="character" w:customStyle="1" w:styleId="TableBullet2Char">
    <w:name w:val="Table Bullet 2 Char"/>
    <w:basedOn w:val="TableTextChar"/>
    <w:link w:val="TableBullet2"/>
    <w:uiPriority w:val="7"/>
    <w:rsid w:val="007074FE"/>
    <w:rPr>
      <w:kern w:val="2"/>
      <w:sz w:val="16"/>
      <w:szCs w:val="16"/>
      <w14:ligatures w14:val="standardContextual"/>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kern w:val="2"/>
      <w:sz w:val="18"/>
      <w:szCs w:val="18"/>
      <w14:ligatures w14:val="standardContextual"/>
    </w:rPr>
  </w:style>
  <w:style w:type="character" w:customStyle="1" w:styleId="TableNumbersChar">
    <w:name w:val="Table Numbers Char"/>
    <w:basedOn w:val="TableTextChar"/>
    <w:link w:val="TableNumbers"/>
    <w:uiPriority w:val="7"/>
    <w:rsid w:val="00457A3F"/>
    <w:rPr>
      <w:kern w:val="2"/>
      <w:sz w:val="16"/>
      <w:szCs w:val="16"/>
      <w14:ligatures w14:val="standardContextual"/>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36C8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kern w:val="2"/>
      <w:sz w:val="24"/>
      <w:szCs w:val="24"/>
      <w14:ligatures w14:val="standardContextual"/>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5C0C2B"/>
    <w:rPr>
      <w:sz w:val="16"/>
    </w:rPr>
  </w:style>
  <w:style w:type="character" w:customStyle="1" w:styleId="CaptionImagesChar">
    <w:name w:val="Caption Images Char"/>
    <w:basedOn w:val="CaptionChar"/>
    <w:link w:val="CaptionImages"/>
    <w:rsid w:val="0034213F"/>
    <w:rPr>
      <w:kern w:val="2"/>
      <w:sz w:val="16"/>
      <w14:ligatures w14:val="standardContextual"/>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kern w:val="2"/>
      <w:sz w:val="16"/>
      <w14:ligatures w14:val="standardContextual"/>
    </w:rPr>
  </w:style>
  <w:style w:type="character" w:customStyle="1" w:styleId="TableHeadingChar">
    <w:name w:val="Table Heading Char"/>
    <w:basedOn w:val="TableTextChar"/>
    <w:link w:val="TableHeading"/>
    <w:uiPriority w:val="6"/>
    <w:rsid w:val="007E5011"/>
    <w:rPr>
      <w:b/>
      <w:caps/>
      <w:color w:val="FFFFFF" w:themeColor="background1"/>
      <w:kern w:val="2"/>
      <w:sz w:val="16"/>
      <w:szCs w:val="16"/>
      <w14:ligatures w14:val="standardContextual"/>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kern w:val="2"/>
      <w:sz w:val="32"/>
      <w:szCs w:val="32"/>
      <w14:ligatures w14:val="standardContextual"/>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kern w:val="2"/>
      <w:sz w:val="20"/>
      <w:szCs w:val="20"/>
      <w14:ligatures w14:val="standardContextual"/>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character" w:customStyle="1" w:styleId="ui-provider">
    <w:name w:val="ui-provider"/>
    <w:basedOn w:val="DefaultParagraphFont"/>
    <w:rsid w:val="00511098"/>
  </w:style>
  <w:style w:type="paragraph" w:customStyle="1" w:styleId="ContentBulletsNumber">
    <w:name w:val="Content Bullets Number"/>
    <w:basedOn w:val="TableText"/>
    <w:semiHidden/>
    <w:qFormat/>
    <w:rsid w:val="00440412"/>
    <w:pPr>
      <w:numPr>
        <w:numId w:val="11"/>
      </w:numPr>
      <w:spacing w:before="240" w:after="120" w:line="240" w:lineRule="atLeast"/>
    </w:pPr>
    <w:rPr>
      <w:rFonts w:ascii="Jacobs Chronos" w:eastAsiaTheme="minorEastAsia" w:hAnsi="Jacobs Chronos" w:cs="Jacobs Chronos"/>
      <w:sz w:val="20"/>
      <w:szCs w:val="24"/>
    </w:rPr>
  </w:style>
  <w:style w:type="paragraph" w:customStyle="1" w:styleId="Tablesmalltext">
    <w:name w:val="Table small text"/>
    <w:basedOn w:val="Normal"/>
    <w:link w:val="TablesmalltextChar"/>
    <w:uiPriority w:val="15"/>
    <w:qFormat/>
    <w:rsid w:val="00F04F4A"/>
    <w:pPr>
      <w:spacing w:before="40" w:after="40" w:line="240" w:lineRule="atLeast"/>
    </w:pPr>
    <w:rPr>
      <w:rFonts w:eastAsiaTheme="minorEastAsia" w:cs="Jacobs Chronos"/>
      <w:sz w:val="16"/>
      <w:szCs w:val="24"/>
    </w:rPr>
  </w:style>
  <w:style w:type="paragraph" w:customStyle="1" w:styleId="Tablesmallheading">
    <w:name w:val="Table small heading"/>
    <w:basedOn w:val="TableHeading"/>
    <w:uiPriority w:val="15"/>
    <w:qFormat/>
    <w:rsid w:val="00440412"/>
    <w:pPr>
      <w:keepNext/>
      <w:spacing w:before="60" w:after="60" w:line="240" w:lineRule="atLeast"/>
    </w:pPr>
    <w:rPr>
      <w:rFonts w:ascii="Jacobs Chronos" w:eastAsiaTheme="minorEastAsia" w:hAnsi="Jacobs Chronos" w:cs="Jacobs Chronos"/>
      <w:caps w:val="0"/>
      <w:color w:val="auto"/>
      <w:sz w:val="20"/>
      <w:szCs w:val="24"/>
    </w:rPr>
  </w:style>
  <w:style w:type="table" w:customStyle="1" w:styleId="Table1">
    <w:name w:val="Table1"/>
    <w:basedOn w:val="TableNormal"/>
    <w:uiPriority w:val="99"/>
    <w:rsid w:val="00440412"/>
    <w:pPr>
      <w:spacing w:after="0" w:line="240" w:lineRule="auto"/>
    </w:pPr>
    <w:rPr>
      <w:rFonts w:eastAsiaTheme="minorEastAsia"/>
      <w:sz w:val="24"/>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Light" w:hAnsi="Bahnschrift SemiLight"/>
        <w:b/>
        <w:color w:val="000000"/>
        <w:sz w:val="50"/>
      </w:rPr>
      <w:tblPr/>
      <w:tcPr>
        <w:shd w:val="clear" w:color="auto" w:fill="CFCAC7"/>
      </w:tcPr>
    </w:tblStylePr>
    <w:tblStylePr w:type="firstCol">
      <w:tblPr/>
      <w:tcPr>
        <w:shd w:val="clear" w:color="auto" w:fill="E6E5E3"/>
      </w:tcPr>
    </w:tblStylePr>
  </w:style>
  <w:style w:type="character" w:customStyle="1" w:styleId="TablesmalltextChar">
    <w:name w:val="Table small text Char"/>
    <w:link w:val="Tablesmalltext"/>
    <w:uiPriority w:val="15"/>
    <w:rsid w:val="00F04F4A"/>
    <w:rPr>
      <w:rFonts w:eastAsiaTheme="minorEastAsia" w:cs="Jacobs Chronos"/>
      <w:sz w:val="16"/>
      <w:szCs w:val="24"/>
    </w:rPr>
  </w:style>
  <w:style w:type="paragraph" w:customStyle="1" w:styleId="Para0bullet">
    <w:name w:val="Para 0 bullet"/>
    <w:basedOn w:val="TableText"/>
    <w:link w:val="Para0bulletChar"/>
    <w:uiPriority w:val="99"/>
    <w:qFormat/>
    <w:rsid w:val="00FF72FB"/>
    <w:pPr>
      <w:numPr>
        <w:numId w:val="12"/>
      </w:numPr>
      <w:tabs>
        <w:tab w:val="left" w:pos="851"/>
      </w:tabs>
      <w:spacing w:after="120" w:line="240" w:lineRule="atLeast"/>
    </w:pPr>
    <w:rPr>
      <w:rFonts w:ascii="Jacobs Chronos" w:eastAsiaTheme="minorEastAsia" w:hAnsi="Jacobs Chronos" w:cs="Jacobs Chronos"/>
      <w:sz w:val="20"/>
      <w:szCs w:val="24"/>
    </w:rPr>
  </w:style>
  <w:style w:type="paragraph" w:customStyle="1" w:styleId="Para1narrowarrow">
    <w:name w:val="Para 1 narrow arrow"/>
    <w:basedOn w:val="Normal"/>
    <w:uiPriority w:val="5"/>
    <w:unhideWhenUsed/>
    <w:qFormat/>
    <w:rsid w:val="00FF72FB"/>
    <w:pPr>
      <w:numPr>
        <w:ilvl w:val="1"/>
        <w:numId w:val="12"/>
      </w:numPr>
      <w:tabs>
        <w:tab w:val="left" w:pos="851"/>
      </w:tabs>
      <w:spacing w:after="120" w:line="240" w:lineRule="atLeast"/>
    </w:pPr>
    <w:rPr>
      <w:rFonts w:ascii="Jacobs Chronos" w:eastAsiaTheme="minorEastAsia" w:hAnsi="Jacobs Chronos" w:cs="Jacobs Chronos"/>
      <w:sz w:val="20"/>
      <w:szCs w:val="24"/>
    </w:rPr>
  </w:style>
  <w:style w:type="numbering" w:customStyle="1" w:styleId="JacobsBulletList1">
    <w:name w:val="Jacobs Bullet List 1"/>
    <w:uiPriority w:val="99"/>
    <w:rsid w:val="00FF72FB"/>
    <w:pPr>
      <w:numPr>
        <w:numId w:val="12"/>
      </w:numPr>
    </w:p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FF72FB"/>
    <w:rPr>
      <w:rFonts w:ascii="Jacobs Chronos" w:hAnsi="Jacobs Chronos" w:cs="Jacobs Chronos"/>
      <w:sz w:val="20"/>
      <w:lang w:val="en-GB"/>
    </w:rPr>
  </w:style>
  <w:style w:type="character" w:customStyle="1" w:styleId="Para0bulletChar">
    <w:name w:val="Para 0 bullet Char"/>
    <w:basedOn w:val="DefaultParagraphFont"/>
    <w:link w:val="Para0bullet"/>
    <w:uiPriority w:val="99"/>
    <w:locked/>
    <w:rsid w:val="00FF72FB"/>
    <w:rPr>
      <w:rFonts w:ascii="Jacobs Chronos" w:eastAsiaTheme="minorEastAsia" w:hAnsi="Jacobs Chronos" w:cs="Jacobs Chronos"/>
      <w:sz w:val="20"/>
      <w:szCs w:val="24"/>
    </w:rPr>
  </w:style>
  <w:style w:type="paragraph" w:styleId="NormalWeb">
    <w:name w:val="Normal (Web)"/>
    <w:basedOn w:val="Normal"/>
    <w:uiPriority w:val="99"/>
    <w:unhideWhenUsed/>
    <w:rsid w:val="002245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0">
    <w:name w:val="Table heading"/>
    <w:basedOn w:val="Normal"/>
    <w:link w:val="TableheadingChar0"/>
    <w:uiPriority w:val="14"/>
    <w:qFormat/>
    <w:rsid w:val="001961B4"/>
    <w:pPr>
      <w:keepNext/>
      <w:spacing w:before="100" w:after="100" w:line="240" w:lineRule="atLeast"/>
    </w:pPr>
    <w:rPr>
      <w:rFonts w:ascii="Jacobs Chronos" w:eastAsiaTheme="minorEastAsia" w:hAnsi="Jacobs Chronos" w:cs="Jacobs Chronos"/>
      <w:b/>
      <w:sz w:val="20"/>
      <w:szCs w:val="24"/>
    </w:rPr>
  </w:style>
  <w:style w:type="character" w:customStyle="1" w:styleId="TableheadingChar0">
    <w:name w:val="Table heading Char"/>
    <w:basedOn w:val="DefaultParagraphFont"/>
    <w:link w:val="Tableheading0"/>
    <w:uiPriority w:val="14"/>
    <w:rsid w:val="001961B4"/>
    <w:rPr>
      <w:rFonts w:ascii="Jacobs Chronos" w:eastAsiaTheme="minorEastAsia" w:hAnsi="Jacobs Chronos" w:cs="Jacobs Chronos"/>
      <w:b/>
      <w:kern w:val="2"/>
      <w:sz w:val="20"/>
      <w:szCs w:val="24"/>
      <w14:ligatures w14:val="standardContextual"/>
    </w:rPr>
  </w:style>
  <w:style w:type="character" w:customStyle="1" w:styleId="font621">
    <w:name w:val="font621"/>
    <w:basedOn w:val="DefaultParagraphFont"/>
    <w:rsid w:val="004E06AA"/>
    <w:rPr>
      <w:rFonts w:ascii="Calibri" w:hAnsi="Calibri" w:cs="Calibri" w:hint="default"/>
      <w:b w:val="0"/>
      <w:bCs w:val="0"/>
      <w:i/>
      <w:iCs/>
      <w:strike w:val="0"/>
      <w:dstrike w:val="0"/>
      <w:color w:val="000000"/>
      <w:u w:val="none"/>
      <w:effect w:val="none"/>
    </w:rPr>
  </w:style>
  <w:style w:type="paragraph" w:styleId="FootnoteText">
    <w:name w:val="footnote text"/>
    <w:basedOn w:val="Normal"/>
    <w:link w:val="FootnoteTextChar"/>
    <w:uiPriority w:val="99"/>
    <w:semiHidden/>
    <w:unhideWhenUsed/>
    <w:rsid w:val="000D0F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FD0"/>
    <w:rPr>
      <w:sz w:val="20"/>
      <w:szCs w:val="20"/>
    </w:rPr>
  </w:style>
  <w:style w:type="character" w:styleId="FootnoteReference">
    <w:name w:val="footnote reference"/>
    <w:basedOn w:val="DefaultParagraphFont"/>
    <w:uiPriority w:val="99"/>
    <w:semiHidden/>
    <w:unhideWhenUsed/>
    <w:rsid w:val="000D0FD0"/>
    <w:rPr>
      <w:vertAlign w:val="superscript"/>
    </w:rPr>
  </w:style>
  <w:style w:type="paragraph" w:customStyle="1" w:styleId="FigureCaption">
    <w:name w:val="Figure Caption"/>
    <w:basedOn w:val="Caption"/>
    <w:next w:val="BodyText"/>
    <w:uiPriority w:val="99"/>
    <w:semiHidden/>
    <w:rsid w:val="006E08DA"/>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6E08DA"/>
    <w:pPr>
      <w:spacing w:after="120"/>
    </w:pPr>
  </w:style>
  <w:style w:type="character" w:customStyle="1" w:styleId="BodyTextChar">
    <w:name w:val="Body Text Char"/>
    <w:basedOn w:val="DefaultParagraphFont"/>
    <w:link w:val="BodyText"/>
    <w:uiPriority w:val="99"/>
    <w:semiHidden/>
    <w:rsid w:val="006E08DA"/>
    <w:rPr>
      <w:sz w:val="18"/>
    </w:rPr>
  </w:style>
  <w:style w:type="paragraph" w:customStyle="1" w:styleId="Pull-outQuoteHeading">
    <w:name w:val="Pull-out Quote Heading"/>
    <w:basedOn w:val="Normal"/>
    <w:next w:val="Normal"/>
    <w:link w:val="Pull-outQuoteHeadingChar"/>
    <w:unhideWhenUsed/>
    <w:qFormat/>
    <w:rsid w:val="00DE072E"/>
    <w:pPr>
      <w:pBdr>
        <w:top w:val="single" w:sz="4" w:space="15" w:color="F0F0F0"/>
        <w:left w:val="single" w:sz="4" w:space="15" w:color="F0F0F0"/>
        <w:bottom w:val="single" w:sz="4" w:space="15" w:color="F0F0F0"/>
        <w:right w:val="single" w:sz="4" w:space="15" w:color="F0F0F0"/>
      </w:pBdr>
      <w:shd w:val="clear" w:color="auto" w:fill="F0F0F0"/>
      <w:spacing w:after="120" w:line="288" w:lineRule="auto"/>
      <w:ind w:left="635" w:hanging="68"/>
      <w:jc w:val="both"/>
    </w:pPr>
    <w:rPr>
      <w:rFonts w:asciiTheme="majorHAnsi" w:hAnsiTheme="majorHAnsi"/>
    </w:rPr>
  </w:style>
  <w:style w:type="character" w:customStyle="1" w:styleId="Pull-outQuoteHeadingChar">
    <w:name w:val="Pull-out Quote Heading Char"/>
    <w:basedOn w:val="DefaultParagraphFont"/>
    <w:link w:val="Pull-outQuoteHeading"/>
    <w:rsid w:val="00DE072E"/>
    <w:rPr>
      <w:rFonts w:asciiTheme="majorHAnsi" w:hAnsiTheme="majorHAnsi"/>
      <w:sz w:val="18"/>
      <w:shd w:val="clear" w:color="auto" w:fill="F0F0F0"/>
    </w:rPr>
  </w:style>
  <w:style w:type="character" w:customStyle="1" w:styleId="wacimagecontainer">
    <w:name w:val="wacimagecontainer"/>
    <w:basedOn w:val="DefaultParagraphFont"/>
    <w:rsid w:val="00A930BD"/>
  </w:style>
  <w:style w:type="paragraph" w:customStyle="1" w:styleId="Tabletext0">
    <w:name w:val="Table text"/>
    <w:basedOn w:val="BodyText"/>
    <w:link w:val="TabletextChar0"/>
    <w:uiPriority w:val="14"/>
    <w:qFormat/>
    <w:rsid w:val="004B1601"/>
    <w:pPr>
      <w:spacing w:before="60" w:after="60" w:line="240" w:lineRule="auto"/>
    </w:pPr>
    <w:rPr>
      <w:rFonts w:ascii="Arial" w:eastAsiaTheme="minorEastAsia" w:hAnsi="Arial"/>
      <w:color w:val="000000" w:themeColor="text1"/>
      <w:szCs w:val="24"/>
    </w:rPr>
  </w:style>
  <w:style w:type="character" w:customStyle="1" w:styleId="TabletextChar0">
    <w:name w:val="Table text Char"/>
    <w:basedOn w:val="BodyTextChar"/>
    <w:link w:val="Tabletext0"/>
    <w:uiPriority w:val="14"/>
    <w:rsid w:val="004B1601"/>
    <w:rPr>
      <w:rFonts w:ascii="Arial" w:eastAsiaTheme="minorEastAsia" w:hAnsi="Arial"/>
      <w:color w:val="000000" w:themeColor="text1"/>
      <w:sz w:val="18"/>
      <w:szCs w:val="24"/>
    </w:rPr>
  </w:style>
  <w:style w:type="character" w:styleId="Mention">
    <w:name w:val="Mention"/>
    <w:basedOn w:val="DefaultParagraphFont"/>
    <w:uiPriority w:val="99"/>
    <w:unhideWhenUsed/>
    <w:rsid w:val="00B86771"/>
    <w:rPr>
      <w:color w:val="2B579A"/>
      <w:shd w:val="clear" w:color="auto" w:fill="E1DFDD"/>
    </w:rPr>
  </w:style>
  <w:style w:type="paragraph" w:customStyle="1" w:styleId="Tablenumbers2">
    <w:name w:val="Table numbers 2"/>
    <w:basedOn w:val="List"/>
    <w:qFormat/>
    <w:rsid w:val="00457A3F"/>
    <w:pPr>
      <w:numPr>
        <w:numId w:val="32"/>
      </w:numPr>
      <w:spacing w:before="60" w:after="60" w:line="240" w:lineRule="auto"/>
      <w:ind w:left="568" w:hanging="284"/>
      <w:contextualSpacing w:val="0"/>
    </w:pPr>
    <w:rPr>
      <w:sz w:val="16"/>
    </w:rPr>
  </w:style>
  <w:style w:type="paragraph" w:customStyle="1" w:styleId="Tablenumbers3">
    <w:name w:val="Table numbers 3"/>
    <w:basedOn w:val="TableNumbers"/>
    <w:qFormat/>
    <w:rsid w:val="00457A3F"/>
    <w:pPr>
      <w:numPr>
        <w:numId w:val="33"/>
      </w:numPr>
      <w:spacing w:before="40" w:line="240" w:lineRule="auto"/>
      <w:ind w:left="85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7958">
      <w:bodyDiv w:val="1"/>
      <w:marLeft w:val="0"/>
      <w:marRight w:val="0"/>
      <w:marTop w:val="0"/>
      <w:marBottom w:val="0"/>
      <w:divBdr>
        <w:top w:val="none" w:sz="0" w:space="0" w:color="auto"/>
        <w:left w:val="none" w:sz="0" w:space="0" w:color="auto"/>
        <w:bottom w:val="none" w:sz="0" w:space="0" w:color="auto"/>
        <w:right w:val="none" w:sz="0" w:space="0" w:color="auto"/>
      </w:divBdr>
    </w:div>
    <w:div w:id="28771878">
      <w:bodyDiv w:val="1"/>
      <w:marLeft w:val="0"/>
      <w:marRight w:val="0"/>
      <w:marTop w:val="0"/>
      <w:marBottom w:val="0"/>
      <w:divBdr>
        <w:top w:val="none" w:sz="0" w:space="0" w:color="auto"/>
        <w:left w:val="none" w:sz="0" w:space="0" w:color="auto"/>
        <w:bottom w:val="none" w:sz="0" w:space="0" w:color="auto"/>
        <w:right w:val="none" w:sz="0" w:space="0" w:color="auto"/>
      </w:divBdr>
    </w:div>
    <w:div w:id="99692479">
      <w:bodyDiv w:val="1"/>
      <w:marLeft w:val="0"/>
      <w:marRight w:val="0"/>
      <w:marTop w:val="0"/>
      <w:marBottom w:val="0"/>
      <w:divBdr>
        <w:top w:val="none" w:sz="0" w:space="0" w:color="auto"/>
        <w:left w:val="none" w:sz="0" w:space="0" w:color="auto"/>
        <w:bottom w:val="none" w:sz="0" w:space="0" w:color="auto"/>
        <w:right w:val="none" w:sz="0" w:space="0" w:color="auto"/>
      </w:divBdr>
    </w:div>
    <w:div w:id="145363081">
      <w:bodyDiv w:val="1"/>
      <w:marLeft w:val="0"/>
      <w:marRight w:val="0"/>
      <w:marTop w:val="0"/>
      <w:marBottom w:val="0"/>
      <w:divBdr>
        <w:top w:val="none" w:sz="0" w:space="0" w:color="auto"/>
        <w:left w:val="none" w:sz="0" w:space="0" w:color="auto"/>
        <w:bottom w:val="none" w:sz="0" w:space="0" w:color="auto"/>
        <w:right w:val="none" w:sz="0" w:space="0" w:color="auto"/>
      </w:divBdr>
    </w:div>
    <w:div w:id="147747228">
      <w:bodyDiv w:val="1"/>
      <w:marLeft w:val="0"/>
      <w:marRight w:val="0"/>
      <w:marTop w:val="0"/>
      <w:marBottom w:val="0"/>
      <w:divBdr>
        <w:top w:val="none" w:sz="0" w:space="0" w:color="auto"/>
        <w:left w:val="none" w:sz="0" w:space="0" w:color="auto"/>
        <w:bottom w:val="none" w:sz="0" w:space="0" w:color="auto"/>
        <w:right w:val="none" w:sz="0" w:space="0" w:color="auto"/>
      </w:divBdr>
      <w:divsChild>
        <w:div w:id="845053591">
          <w:marLeft w:val="0"/>
          <w:marRight w:val="0"/>
          <w:marTop w:val="0"/>
          <w:marBottom w:val="0"/>
          <w:divBdr>
            <w:top w:val="none" w:sz="0" w:space="0" w:color="auto"/>
            <w:left w:val="none" w:sz="0" w:space="0" w:color="auto"/>
            <w:bottom w:val="none" w:sz="0" w:space="0" w:color="auto"/>
            <w:right w:val="none" w:sz="0" w:space="0" w:color="auto"/>
          </w:divBdr>
          <w:divsChild>
            <w:div w:id="476723565">
              <w:marLeft w:val="0"/>
              <w:marRight w:val="0"/>
              <w:marTop w:val="0"/>
              <w:marBottom w:val="0"/>
              <w:divBdr>
                <w:top w:val="none" w:sz="0" w:space="0" w:color="auto"/>
                <w:left w:val="none" w:sz="0" w:space="0" w:color="auto"/>
                <w:bottom w:val="none" w:sz="0" w:space="0" w:color="auto"/>
                <w:right w:val="none" w:sz="0" w:space="0" w:color="auto"/>
              </w:divBdr>
              <w:divsChild>
                <w:div w:id="13362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1766">
      <w:bodyDiv w:val="1"/>
      <w:marLeft w:val="0"/>
      <w:marRight w:val="0"/>
      <w:marTop w:val="0"/>
      <w:marBottom w:val="0"/>
      <w:divBdr>
        <w:top w:val="none" w:sz="0" w:space="0" w:color="auto"/>
        <w:left w:val="none" w:sz="0" w:space="0" w:color="auto"/>
        <w:bottom w:val="none" w:sz="0" w:space="0" w:color="auto"/>
        <w:right w:val="none" w:sz="0" w:space="0" w:color="auto"/>
      </w:divBdr>
    </w:div>
    <w:div w:id="27459978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11835145">
      <w:bodyDiv w:val="1"/>
      <w:marLeft w:val="0"/>
      <w:marRight w:val="0"/>
      <w:marTop w:val="0"/>
      <w:marBottom w:val="0"/>
      <w:divBdr>
        <w:top w:val="none" w:sz="0" w:space="0" w:color="auto"/>
        <w:left w:val="none" w:sz="0" w:space="0" w:color="auto"/>
        <w:bottom w:val="none" w:sz="0" w:space="0" w:color="auto"/>
        <w:right w:val="none" w:sz="0" w:space="0" w:color="auto"/>
      </w:divBdr>
    </w:div>
    <w:div w:id="312298380">
      <w:bodyDiv w:val="1"/>
      <w:marLeft w:val="0"/>
      <w:marRight w:val="0"/>
      <w:marTop w:val="0"/>
      <w:marBottom w:val="0"/>
      <w:divBdr>
        <w:top w:val="none" w:sz="0" w:space="0" w:color="auto"/>
        <w:left w:val="none" w:sz="0" w:space="0" w:color="auto"/>
        <w:bottom w:val="none" w:sz="0" w:space="0" w:color="auto"/>
        <w:right w:val="none" w:sz="0" w:space="0" w:color="auto"/>
      </w:divBdr>
      <w:divsChild>
        <w:div w:id="4986325">
          <w:marLeft w:val="0"/>
          <w:marRight w:val="0"/>
          <w:marTop w:val="0"/>
          <w:marBottom w:val="0"/>
          <w:divBdr>
            <w:top w:val="none" w:sz="0" w:space="0" w:color="auto"/>
            <w:left w:val="none" w:sz="0" w:space="0" w:color="auto"/>
            <w:bottom w:val="none" w:sz="0" w:space="0" w:color="auto"/>
            <w:right w:val="none" w:sz="0" w:space="0" w:color="auto"/>
          </w:divBdr>
          <w:divsChild>
            <w:div w:id="1570262575">
              <w:marLeft w:val="0"/>
              <w:marRight w:val="0"/>
              <w:marTop w:val="0"/>
              <w:marBottom w:val="0"/>
              <w:divBdr>
                <w:top w:val="none" w:sz="0" w:space="0" w:color="auto"/>
                <w:left w:val="none" w:sz="0" w:space="0" w:color="auto"/>
                <w:bottom w:val="none" w:sz="0" w:space="0" w:color="auto"/>
                <w:right w:val="none" w:sz="0" w:space="0" w:color="auto"/>
              </w:divBdr>
              <w:divsChild>
                <w:div w:id="14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9025">
      <w:bodyDiv w:val="1"/>
      <w:marLeft w:val="0"/>
      <w:marRight w:val="0"/>
      <w:marTop w:val="0"/>
      <w:marBottom w:val="0"/>
      <w:divBdr>
        <w:top w:val="none" w:sz="0" w:space="0" w:color="auto"/>
        <w:left w:val="none" w:sz="0" w:space="0" w:color="auto"/>
        <w:bottom w:val="none" w:sz="0" w:space="0" w:color="auto"/>
        <w:right w:val="none" w:sz="0" w:space="0" w:color="auto"/>
      </w:divBdr>
    </w:div>
    <w:div w:id="400566413">
      <w:bodyDiv w:val="1"/>
      <w:marLeft w:val="0"/>
      <w:marRight w:val="0"/>
      <w:marTop w:val="0"/>
      <w:marBottom w:val="0"/>
      <w:divBdr>
        <w:top w:val="none" w:sz="0" w:space="0" w:color="auto"/>
        <w:left w:val="none" w:sz="0" w:space="0" w:color="auto"/>
        <w:bottom w:val="none" w:sz="0" w:space="0" w:color="auto"/>
        <w:right w:val="none" w:sz="0" w:space="0" w:color="auto"/>
      </w:divBdr>
    </w:div>
    <w:div w:id="406418838">
      <w:bodyDiv w:val="1"/>
      <w:marLeft w:val="0"/>
      <w:marRight w:val="0"/>
      <w:marTop w:val="0"/>
      <w:marBottom w:val="0"/>
      <w:divBdr>
        <w:top w:val="none" w:sz="0" w:space="0" w:color="auto"/>
        <w:left w:val="none" w:sz="0" w:space="0" w:color="auto"/>
        <w:bottom w:val="none" w:sz="0" w:space="0" w:color="auto"/>
        <w:right w:val="none" w:sz="0" w:space="0" w:color="auto"/>
      </w:divBdr>
      <w:divsChild>
        <w:div w:id="1190676792">
          <w:marLeft w:val="0"/>
          <w:marRight w:val="0"/>
          <w:marTop w:val="0"/>
          <w:marBottom w:val="0"/>
          <w:divBdr>
            <w:top w:val="none" w:sz="0" w:space="0" w:color="auto"/>
            <w:left w:val="none" w:sz="0" w:space="0" w:color="auto"/>
            <w:bottom w:val="none" w:sz="0" w:space="0" w:color="auto"/>
            <w:right w:val="none" w:sz="0" w:space="0" w:color="auto"/>
          </w:divBdr>
          <w:divsChild>
            <w:div w:id="958881003">
              <w:marLeft w:val="0"/>
              <w:marRight w:val="0"/>
              <w:marTop w:val="0"/>
              <w:marBottom w:val="0"/>
              <w:divBdr>
                <w:top w:val="none" w:sz="0" w:space="0" w:color="auto"/>
                <w:left w:val="none" w:sz="0" w:space="0" w:color="auto"/>
                <w:bottom w:val="none" w:sz="0" w:space="0" w:color="auto"/>
                <w:right w:val="none" w:sz="0" w:space="0" w:color="auto"/>
              </w:divBdr>
              <w:divsChild>
                <w:div w:id="4482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9042">
      <w:bodyDiv w:val="1"/>
      <w:marLeft w:val="0"/>
      <w:marRight w:val="0"/>
      <w:marTop w:val="0"/>
      <w:marBottom w:val="0"/>
      <w:divBdr>
        <w:top w:val="none" w:sz="0" w:space="0" w:color="auto"/>
        <w:left w:val="none" w:sz="0" w:space="0" w:color="auto"/>
        <w:bottom w:val="none" w:sz="0" w:space="0" w:color="auto"/>
        <w:right w:val="none" w:sz="0" w:space="0" w:color="auto"/>
      </w:divBdr>
    </w:div>
    <w:div w:id="539125199">
      <w:bodyDiv w:val="1"/>
      <w:marLeft w:val="0"/>
      <w:marRight w:val="0"/>
      <w:marTop w:val="0"/>
      <w:marBottom w:val="0"/>
      <w:divBdr>
        <w:top w:val="none" w:sz="0" w:space="0" w:color="auto"/>
        <w:left w:val="none" w:sz="0" w:space="0" w:color="auto"/>
        <w:bottom w:val="none" w:sz="0" w:space="0" w:color="auto"/>
        <w:right w:val="none" w:sz="0" w:space="0" w:color="auto"/>
      </w:divBdr>
      <w:divsChild>
        <w:div w:id="336464604">
          <w:marLeft w:val="0"/>
          <w:marRight w:val="0"/>
          <w:marTop w:val="0"/>
          <w:marBottom w:val="0"/>
          <w:divBdr>
            <w:top w:val="none" w:sz="0" w:space="0" w:color="auto"/>
            <w:left w:val="none" w:sz="0" w:space="0" w:color="auto"/>
            <w:bottom w:val="none" w:sz="0" w:space="0" w:color="auto"/>
            <w:right w:val="none" w:sz="0" w:space="0" w:color="auto"/>
          </w:divBdr>
          <w:divsChild>
            <w:div w:id="1900436130">
              <w:marLeft w:val="0"/>
              <w:marRight w:val="0"/>
              <w:marTop w:val="0"/>
              <w:marBottom w:val="0"/>
              <w:divBdr>
                <w:top w:val="none" w:sz="0" w:space="0" w:color="auto"/>
                <w:left w:val="none" w:sz="0" w:space="0" w:color="auto"/>
                <w:bottom w:val="none" w:sz="0" w:space="0" w:color="auto"/>
                <w:right w:val="none" w:sz="0" w:space="0" w:color="auto"/>
              </w:divBdr>
              <w:divsChild>
                <w:div w:id="19507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77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59238936">
      <w:bodyDiv w:val="1"/>
      <w:marLeft w:val="0"/>
      <w:marRight w:val="0"/>
      <w:marTop w:val="0"/>
      <w:marBottom w:val="0"/>
      <w:divBdr>
        <w:top w:val="none" w:sz="0" w:space="0" w:color="auto"/>
        <w:left w:val="none" w:sz="0" w:space="0" w:color="auto"/>
        <w:bottom w:val="none" w:sz="0" w:space="0" w:color="auto"/>
        <w:right w:val="none" w:sz="0" w:space="0" w:color="auto"/>
      </w:divBdr>
    </w:div>
    <w:div w:id="697245358">
      <w:bodyDiv w:val="1"/>
      <w:marLeft w:val="0"/>
      <w:marRight w:val="0"/>
      <w:marTop w:val="0"/>
      <w:marBottom w:val="0"/>
      <w:divBdr>
        <w:top w:val="none" w:sz="0" w:space="0" w:color="auto"/>
        <w:left w:val="none" w:sz="0" w:space="0" w:color="auto"/>
        <w:bottom w:val="none" w:sz="0" w:space="0" w:color="auto"/>
        <w:right w:val="none" w:sz="0" w:space="0" w:color="auto"/>
      </w:divBdr>
    </w:div>
    <w:div w:id="746028559">
      <w:bodyDiv w:val="1"/>
      <w:marLeft w:val="0"/>
      <w:marRight w:val="0"/>
      <w:marTop w:val="0"/>
      <w:marBottom w:val="0"/>
      <w:divBdr>
        <w:top w:val="none" w:sz="0" w:space="0" w:color="auto"/>
        <w:left w:val="none" w:sz="0" w:space="0" w:color="auto"/>
        <w:bottom w:val="none" w:sz="0" w:space="0" w:color="auto"/>
        <w:right w:val="none" w:sz="0" w:space="0" w:color="auto"/>
      </w:divBdr>
    </w:div>
    <w:div w:id="754285321">
      <w:bodyDiv w:val="1"/>
      <w:marLeft w:val="0"/>
      <w:marRight w:val="0"/>
      <w:marTop w:val="0"/>
      <w:marBottom w:val="0"/>
      <w:divBdr>
        <w:top w:val="none" w:sz="0" w:space="0" w:color="auto"/>
        <w:left w:val="none" w:sz="0" w:space="0" w:color="auto"/>
        <w:bottom w:val="none" w:sz="0" w:space="0" w:color="auto"/>
        <w:right w:val="none" w:sz="0" w:space="0" w:color="auto"/>
      </w:divBdr>
      <w:divsChild>
        <w:div w:id="461583415">
          <w:marLeft w:val="0"/>
          <w:marRight w:val="0"/>
          <w:marTop w:val="0"/>
          <w:marBottom w:val="0"/>
          <w:divBdr>
            <w:top w:val="none" w:sz="0" w:space="0" w:color="auto"/>
            <w:left w:val="none" w:sz="0" w:space="0" w:color="auto"/>
            <w:bottom w:val="none" w:sz="0" w:space="0" w:color="auto"/>
            <w:right w:val="none" w:sz="0" w:space="0" w:color="auto"/>
          </w:divBdr>
          <w:divsChild>
            <w:div w:id="375469477">
              <w:marLeft w:val="0"/>
              <w:marRight w:val="0"/>
              <w:marTop w:val="0"/>
              <w:marBottom w:val="0"/>
              <w:divBdr>
                <w:top w:val="none" w:sz="0" w:space="0" w:color="auto"/>
                <w:left w:val="none" w:sz="0" w:space="0" w:color="auto"/>
                <w:bottom w:val="none" w:sz="0" w:space="0" w:color="auto"/>
                <w:right w:val="none" w:sz="0" w:space="0" w:color="auto"/>
              </w:divBdr>
              <w:divsChild>
                <w:div w:id="11082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50671575">
      <w:bodyDiv w:val="1"/>
      <w:marLeft w:val="0"/>
      <w:marRight w:val="0"/>
      <w:marTop w:val="0"/>
      <w:marBottom w:val="0"/>
      <w:divBdr>
        <w:top w:val="none" w:sz="0" w:space="0" w:color="auto"/>
        <w:left w:val="none" w:sz="0" w:space="0" w:color="auto"/>
        <w:bottom w:val="none" w:sz="0" w:space="0" w:color="auto"/>
        <w:right w:val="none" w:sz="0" w:space="0" w:color="auto"/>
      </w:divBdr>
      <w:divsChild>
        <w:div w:id="716705517">
          <w:marLeft w:val="0"/>
          <w:marRight w:val="0"/>
          <w:marTop w:val="0"/>
          <w:marBottom w:val="0"/>
          <w:divBdr>
            <w:top w:val="none" w:sz="0" w:space="0" w:color="auto"/>
            <w:left w:val="none" w:sz="0" w:space="0" w:color="auto"/>
            <w:bottom w:val="none" w:sz="0" w:space="0" w:color="auto"/>
            <w:right w:val="none" w:sz="0" w:space="0" w:color="auto"/>
          </w:divBdr>
        </w:div>
        <w:div w:id="1496414845">
          <w:marLeft w:val="0"/>
          <w:marRight w:val="0"/>
          <w:marTop w:val="0"/>
          <w:marBottom w:val="0"/>
          <w:divBdr>
            <w:top w:val="none" w:sz="0" w:space="0" w:color="auto"/>
            <w:left w:val="none" w:sz="0" w:space="0" w:color="auto"/>
            <w:bottom w:val="none" w:sz="0" w:space="0" w:color="auto"/>
            <w:right w:val="none" w:sz="0" w:space="0" w:color="auto"/>
          </w:divBdr>
        </w:div>
      </w:divsChild>
    </w:div>
    <w:div w:id="956259911">
      <w:bodyDiv w:val="1"/>
      <w:marLeft w:val="0"/>
      <w:marRight w:val="0"/>
      <w:marTop w:val="0"/>
      <w:marBottom w:val="0"/>
      <w:divBdr>
        <w:top w:val="none" w:sz="0" w:space="0" w:color="auto"/>
        <w:left w:val="none" w:sz="0" w:space="0" w:color="auto"/>
        <w:bottom w:val="none" w:sz="0" w:space="0" w:color="auto"/>
        <w:right w:val="none" w:sz="0" w:space="0" w:color="auto"/>
      </w:divBdr>
    </w:div>
    <w:div w:id="974680402">
      <w:bodyDiv w:val="1"/>
      <w:marLeft w:val="0"/>
      <w:marRight w:val="0"/>
      <w:marTop w:val="0"/>
      <w:marBottom w:val="0"/>
      <w:divBdr>
        <w:top w:val="none" w:sz="0" w:space="0" w:color="auto"/>
        <w:left w:val="none" w:sz="0" w:space="0" w:color="auto"/>
        <w:bottom w:val="none" w:sz="0" w:space="0" w:color="auto"/>
        <w:right w:val="none" w:sz="0" w:space="0" w:color="auto"/>
      </w:divBdr>
      <w:divsChild>
        <w:div w:id="116727508">
          <w:marLeft w:val="0"/>
          <w:marRight w:val="0"/>
          <w:marTop w:val="0"/>
          <w:marBottom w:val="0"/>
          <w:divBdr>
            <w:top w:val="none" w:sz="0" w:space="0" w:color="auto"/>
            <w:left w:val="none" w:sz="0" w:space="0" w:color="auto"/>
            <w:bottom w:val="none" w:sz="0" w:space="0" w:color="auto"/>
            <w:right w:val="none" w:sz="0" w:space="0" w:color="auto"/>
          </w:divBdr>
          <w:divsChild>
            <w:div w:id="2025278082">
              <w:marLeft w:val="0"/>
              <w:marRight w:val="0"/>
              <w:marTop w:val="0"/>
              <w:marBottom w:val="0"/>
              <w:divBdr>
                <w:top w:val="none" w:sz="0" w:space="0" w:color="auto"/>
                <w:left w:val="none" w:sz="0" w:space="0" w:color="auto"/>
                <w:bottom w:val="none" w:sz="0" w:space="0" w:color="auto"/>
                <w:right w:val="none" w:sz="0" w:space="0" w:color="auto"/>
              </w:divBdr>
              <w:divsChild>
                <w:div w:id="8983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887">
      <w:bodyDiv w:val="1"/>
      <w:marLeft w:val="0"/>
      <w:marRight w:val="0"/>
      <w:marTop w:val="0"/>
      <w:marBottom w:val="0"/>
      <w:divBdr>
        <w:top w:val="none" w:sz="0" w:space="0" w:color="auto"/>
        <w:left w:val="none" w:sz="0" w:space="0" w:color="auto"/>
        <w:bottom w:val="none" w:sz="0" w:space="0" w:color="auto"/>
        <w:right w:val="none" w:sz="0" w:space="0" w:color="auto"/>
      </w:divBdr>
      <w:divsChild>
        <w:div w:id="54427078">
          <w:marLeft w:val="0"/>
          <w:marRight w:val="0"/>
          <w:marTop w:val="0"/>
          <w:marBottom w:val="0"/>
          <w:divBdr>
            <w:top w:val="none" w:sz="0" w:space="0" w:color="auto"/>
            <w:left w:val="none" w:sz="0" w:space="0" w:color="auto"/>
            <w:bottom w:val="none" w:sz="0" w:space="0" w:color="auto"/>
            <w:right w:val="none" w:sz="0" w:space="0" w:color="auto"/>
          </w:divBdr>
          <w:divsChild>
            <w:div w:id="1355693868">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234">
      <w:bodyDiv w:val="1"/>
      <w:marLeft w:val="0"/>
      <w:marRight w:val="0"/>
      <w:marTop w:val="0"/>
      <w:marBottom w:val="0"/>
      <w:divBdr>
        <w:top w:val="none" w:sz="0" w:space="0" w:color="auto"/>
        <w:left w:val="none" w:sz="0" w:space="0" w:color="auto"/>
        <w:bottom w:val="none" w:sz="0" w:space="0" w:color="auto"/>
        <w:right w:val="none" w:sz="0" w:space="0" w:color="auto"/>
      </w:divBdr>
    </w:div>
    <w:div w:id="1079863743">
      <w:bodyDiv w:val="1"/>
      <w:marLeft w:val="0"/>
      <w:marRight w:val="0"/>
      <w:marTop w:val="0"/>
      <w:marBottom w:val="0"/>
      <w:divBdr>
        <w:top w:val="none" w:sz="0" w:space="0" w:color="auto"/>
        <w:left w:val="none" w:sz="0" w:space="0" w:color="auto"/>
        <w:bottom w:val="none" w:sz="0" w:space="0" w:color="auto"/>
        <w:right w:val="none" w:sz="0" w:space="0" w:color="auto"/>
      </w:divBdr>
    </w:div>
    <w:div w:id="1081677575">
      <w:bodyDiv w:val="1"/>
      <w:marLeft w:val="0"/>
      <w:marRight w:val="0"/>
      <w:marTop w:val="0"/>
      <w:marBottom w:val="0"/>
      <w:divBdr>
        <w:top w:val="none" w:sz="0" w:space="0" w:color="auto"/>
        <w:left w:val="none" w:sz="0" w:space="0" w:color="auto"/>
        <w:bottom w:val="none" w:sz="0" w:space="0" w:color="auto"/>
        <w:right w:val="none" w:sz="0" w:space="0" w:color="auto"/>
      </w:divBdr>
    </w:div>
    <w:div w:id="1274509725">
      <w:bodyDiv w:val="1"/>
      <w:marLeft w:val="0"/>
      <w:marRight w:val="0"/>
      <w:marTop w:val="0"/>
      <w:marBottom w:val="0"/>
      <w:divBdr>
        <w:top w:val="none" w:sz="0" w:space="0" w:color="auto"/>
        <w:left w:val="none" w:sz="0" w:space="0" w:color="auto"/>
        <w:bottom w:val="none" w:sz="0" w:space="0" w:color="auto"/>
        <w:right w:val="none" w:sz="0" w:space="0" w:color="auto"/>
      </w:divBdr>
    </w:div>
    <w:div w:id="1365597200">
      <w:bodyDiv w:val="1"/>
      <w:marLeft w:val="0"/>
      <w:marRight w:val="0"/>
      <w:marTop w:val="0"/>
      <w:marBottom w:val="0"/>
      <w:divBdr>
        <w:top w:val="none" w:sz="0" w:space="0" w:color="auto"/>
        <w:left w:val="none" w:sz="0" w:space="0" w:color="auto"/>
        <w:bottom w:val="none" w:sz="0" w:space="0" w:color="auto"/>
        <w:right w:val="none" w:sz="0" w:space="0" w:color="auto"/>
      </w:divBdr>
    </w:div>
    <w:div w:id="1405879439">
      <w:bodyDiv w:val="1"/>
      <w:marLeft w:val="0"/>
      <w:marRight w:val="0"/>
      <w:marTop w:val="0"/>
      <w:marBottom w:val="0"/>
      <w:divBdr>
        <w:top w:val="none" w:sz="0" w:space="0" w:color="auto"/>
        <w:left w:val="none" w:sz="0" w:space="0" w:color="auto"/>
        <w:bottom w:val="none" w:sz="0" w:space="0" w:color="auto"/>
        <w:right w:val="none" w:sz="0" w:space="0" w:color="auto"/>
      </w:divBdr>
    </w:div>
    <w:div w:id="1422407275">
      <w:bodyDiv w:val="1"/>
      <w:marLeft w:val="0"/>
      <w:marRight w:val="0"/>
      <w:marTop w:val="0"/>
      <w:marBottom w:val="0"/>
      <w:divBdr>
        <w:top w:val="none" w:sz="0" w:space="0" w:color="auto"/>
        <w:left w:val="none" w:sz="0" w:space="0" w:color="auto"/>
        <w:bottom w:val="none" w:sz="0" w:space="0" w:color="auto"/>
        <w:right w:val="none" w:sz="0" w:space="0" w:color="auto"/>
      </w:divBdr>
    </w:div>
    <w:div w:id="1430731549">
      <w:bodyDiv w:val="1"/>
      <w:marLeft w:val="0"/>
      <w:marRight w:val="0"/>
      <w:marTop w:val="0"/>
      <w:marBottom w:val="0"/>
      <w:divBdr>
        <w:top w:val="none" w:sz="0" w:space="0" w:color="auto"/>
        <w:left w:val="none" w:sz="0" w:space="0" w:color="auto"/>
        <w:bottom w:val="none" w:sz="0" w:space="0" w:color="auto"/>
        <w:right w:val="none" w:sz="0" w:space="0" w:color="auto"/>
      </w:divBdr>
    </w:div>
    <w:div w:id="1438402607">
      <w:bodyDiv w:val="1"/>
      <w:marLeft w:val="0"/>
      <w:marRight w:val="0"/>
      <w:marTop w:val="0"/>
      <w:marBottom w:val="0"/>
      <w:divBdr>
        <w:top w:val="none" w:sz="0" w:space="0" w:color="auto"/>
        <w:left w:val="none" w:sz="0" w:space="0" w:color="auto"/>
        <w:bottom w:val="none" w:sz="0" w:space="0" w:color="auto"/>
        <w:right w:val="none" w:sz="0" w:space="0" w:color="auto"/>
      </w:divBdr>
      <w:divsChild>
        <w:div w:id="573706573">
          <w:marLeft w:val="0"/>
          <w:marRight w:val="0"/>
          <w:marTop w:val="0"/>
          <w:marBottom w:val="0"/>
          <w:divBdr>
            <w:top w:val="none" w:sz="0" w:space="0" w:color="auto"/>
            <w:left w:val="none" w:sz="0" w:space="0" w:color="auto"/>
            <w:bottom w:val="none" w:sz="0" w:space="0" w:color="auto"/>
            <w:right w:val="none" w:sz="0" w:space="0" w:color="auto"/>
          </w:divBdr>
          <w:divsChild>
            <w:div w:id="1444836211">
              <w:marLeft w:val="0"/>
              <w:marRight w:val="0"/>
              <w:marTop w:val="0"/>
              <w:marBottom w:val="0"/>
              <w:divBdr>
                <w:top w:val="none" w:sz="0" w:space="0" w:color="auto"/>
                <w:left w:val="none" w:sz="0" w:space="0" w:color="auto"/>
                <w:bottom w:val="none" w:sz="0" w:space="0" w:color="auto"/>
                <w:right w:val="none" w:sz="0" w:space="0" w:color="auto"/>
              </w:divBdr>
              <w:divsChild>
                <w:div w:id="2892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18228881">
      <w:bodyDiv w:val="1"/>
      <w:marLeft w:val="0"/>
      <w:marRight w:val="0"/>
      <w:marTop w:val="0"/>
      <w:marBottom w:val="0"/>
      <w:divBdr>
        <w:top w:val="none" w:sz="0" w:space="0" w:color="auto"/>
        <w:left w:val="none" w:sz="0" w:space="0" w:color="auto"/>
        <w:bottom w:val="none" w:sz="0" w:space="0" w:color="auto"/>
        <w:right w:val="none" w:sz="0" w:space="0" w:color="auto"/>
      </w:divBdr>
      <w:divsChild>
        <w:div w:id="542861602">
          <w:marLeft w:val="0"/>
          <w:marRight w:val="0"/>
          <w:marTop w:val="0"/>
          <w:marBottom w:val="0"/>
          <w:divBdr>
            <w:top w:val="none" w:sz="0" w:space="0" w:color="auto"/>
            <w:left w:val="none" w:sz="0" w:space="0" w:color="auto"/>
            <w:bottom w:val="none" w:sz="0" w:space="0" w:color="auto"/>
            <w:right w:val="none" w:sz="0" w:space="0" w:color="auto"/>
          </w:divBdr>
          <w:divsChild>
            <w:div w:id="815495541">
              <w:marLeft w:val="0"/>
              <w:marRight w:val="0"/>
              <w:marTop w:val="0"/>
              <w:marBottom w:val="0"/>
              <w:divBdr>
                <w:top w:val="none" w:sz="0" w:space="0" w:color="auto"/>
                <w:left w:val="none" w:sz="0" w:space="0" w:color="auto"/>
                <w:bottom w:val="none" w:sz="0" w:space="0" w:color="auto"/>
                <w:right w:val="none" w:sz="0" w:space="0" w:color="auto"/>
              </w:divBdr>
              <w:divsChild>
                <w:div w:id="10128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4735186">
      <w:bodyDiv w:val="1"/>
      <w:marLeft w:val="0"/>
      <w:marRight w:val="0"/>
      <w:marTop w:val="0"/>
      <w:marBottom w:val="0"/>
      <w:divBdr>
        <w:top w:val="none" w:sz="0" w:space="0" w:color="auto"/>
        <w:left w:val="none" w:sz="0" w:space="0" w:color="auto"/>
        <w:bottom w:val="none" w:sz="0" w:space="0" w:color="auto"/>
        <w:right w:val="none" w:sz="0" w:space="0" w:color="auto"/>
      </w:divBdr>
    </w:div>
    <w:div w:id="1560550175">
      <w:bodyDiv w:val="1"/>
      <w:marLeft w:val="0"/>
      <w:marRight w:val="0"/>
      <w:marTop w:val="0"/>
      <w:marBottom w:val="0"/>
      <w:divBdr>
        <w:top w:val="none" w:sz="0" w:space="0" w:color="auto"/>
        <w:left w:val="none" w:sz="0" w:space="0" w:color="auto"/>
        <w:bottom w:val="none" w:sz="0" w:space="0" w:color="auto"/>
        <w:right w:val="none" w:sz="0" w:space="0" w:color="auto"/>
      </w:divBdr>
    </w:div>
    <w:div w:id="1809975759">
      <w:bodyDiv w:val="1"/>
      <w:marLeft w:val="0"/>
      <w:marRight w:val="0"/>
      <w:marTop w:val="0"/>
      <w:marBottom w:val="0"/>
      <w:divBdr>
        <w:top w:val="none" w:sz="0" w:space="0" w:color="auto"/>
        <w:left w:val="none" w:sz="0" w:space="0" w:color="auto"/>
        <w:bottom w:val="none" w:sz="0" w:space="0" w:color="auto"/>
        <w:right w:val="none" w:sz="0" w:space="0" w:color="auto"/>
      </w:divBdr>
      <w:divsChild>
        <w:div w:id="1330402499">
          <w:marLeft w:val="0"/>
          <w:marRight w:val="0"/>
          <w:marTop w:val="0"/>
          <w:marBottom w:val="0"/>
          <w:divBdr>
            <w:top w:val="none" w:sz="0" w:space="0" w:color="auto"/>
            <w:left w:val="none" w:sz="0" w:space="0" w:color="auto"/>
            <w:bottom w:val="none" w:sz="0" w:space="0" w:color="auto"/>
            <w:right w:val="none" w:sz="0" w:space="0" w:color="auto"/>
          </w:divBdr>
          <w:divsChild>
            <w:div w:id="1947887298">
              <w:marLeft w:val="0"/>
              <w:marRight w:val="0"/>
              <w:marTop w:val="0"/>
              <w:marBottom w:val="0"/>
              <w:divBdr>
                <w:top w:val="none" w:sz="0" w:space="0" w:color="auto"/>
                <w:left w:val="none" w:sz="0" w:space="0" w:color="auto"/>
                <w:bottom w:val="none" w:sz="0" w:space="0" w:color="auto"/>
                <w:right w:val="none" w:sz="0" w:space="0" w:color="auto"/>
              </w:divBdr>
              <w:divsChild>
                <w:div w:id="1214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5622">
      <w:bodyDiv w:val="1"/>
      <w:marLeft w:val="0"/>
      <w:marRight w:val="0"/>
      <w:marTop w:val="0"/>
      <w:marBottom w:val="0"/>
      <w:divBdr>
        <w:top w:val="none" w:sz="0" w:space="0" w:color="auto"/>
        <w:left w:val="none" w:sz="0" w:space="0" w:color="auto"/>
        <w:bottom w:val="none" w:sz="0" w:space="0" w:color="auto"/>
        <w:right w:val="none" w:sz="0" w:space="0" w:color="auto"/>
      </w:divBdr>
      <w:divsChild>
        <w:div w:id="782380215">
          <w:marLeft w:val="0"/>
          <w:marRight w:val="0"/>
          <w:marTop w:val="0"/>
          <w:marBottom w:val="0"/>
          <w:divBdr>
            <w:top w:val="none" w:sz="0" w:space="0" w:color="auto"/>
            <w:left w:val="none" w:sz="0" w:space="0" w:color="auto"/>
            <w:bottom w:val="none" w:sz="0" w:space="0" w:color="auto"/>
            <w:right w:val="none" w:sz="0" w:space="0" w:color="auto"/>
          </w:divBdr>
          <w:divsChild>
            <w:div w:id="501748772">
              <w:marLeft w:val="0"/>
              <w:marRight w:val="0"/>
              <w:marTop w:val="0"/>
              <w:marBottom w:val="0"/>
              <w:divBdr>
                <w:top w:val="none" w:sz="0" w:space="0" w:color="auto"/>
                <w:left w:val="none" w:sz="0" w:space="0" w:color="auto"/>
                <w:bottom w:val="none" w:sz="0" w:space="0" w:color="auto"/>
                <w:right w:val="none" w:sz="0" w:space="0" w:color="auto"/>
              </w:divBdr>
              <w:divsChild>
                <w:div w:id="9519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18675">
      <w:bodyDiv w:val="1"/>
      <w:marLeft w:val="0"/>
      <w:marRight w:val="0"/>
      <w:marTop w:val="0"/>
      <w:marBottom w:val="0"/>
      <w:divBdr>
        <w:top w:val="none" w:sz="0" w:space="0" w:color="auto"/>
        <w:left w:val="none" w:sz="0" w:space="0" w:color="auto"/>
        <w:bottom w:val="none" w:sz="0" w:space="0" w:color="auto"/>
        <w:right w:val="none" w:sz="0" w:space="0" w:color="auto"/>
      </w:divBdr>
      <w:divsChild>
        <w:div w:id="228199374">
          <w:marLeft w:val="0"/>
          <w:marRight w:val="0"/>
          <w:marTop w:val="0"/>
          <w:marBottom w:val="0"/>
          <w:divBdr>
            <w:top w:val="none" w:sz="0" w:space="0" w:color="auto"/>
            <w:left w:val="none" w:sz="0" w:space="0" w:color="auto"/>
            <w:bottom w:val="none" w:sz="0" w:space="0" w:color="auto"/>
            <w:right w:val="none" w:sz="0" w:space="0" w:color="auto"/>
          </w:divBdr>
          <w:divsChild>
            <w:div w:id="1255361001">
              <w:marLeft w:val="0"/>
              <w:marRight w:val="0"/>
              <w:marTop w:val="0"/>
              <w:marBottom w:val="0"/>
              <w:divBdr>
                <w:top w:val="none" w:sz="0" w:space="0" w:color="auto"/>
                <w:left w:val="none" w:sz="0" w:space="0" w:color="auto"/>
                <w:bottom w:val="none" w:sz="0" w:space="0" w:color="auto"/>
                <w:right w:val="none" w:sz="0" w:space="0" w:color="auto"/>
              </w:divBdr>
              <w:divsChild>
                <w:div w:id="11494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94">
      <w:bodyDiv w:val="1"/>
      <w:marLeft w:val="0"/>
      <w:marRight w:val="0"/>
      <w:marTop w:val="0"/>
      <w:marBottom w:val="0"/>
      <w:divBdr>
        <w:top w:val="none" w:sz="0" w:space="0" w:color="auto"/>
        <w:left w:val="none" w:sz="0" w:space="0" w:color="auto"/>
        <w:bottom w:val="none" w:sz="0" w:space="0" w:color="auto"/>
        <w:right w:val="none" w:sz="0" w:space="0" w:color="auto"/>
      </w:divBdr>
      <w:divsChild>
        <w:div w:id="1506939241">
          <w:marLeft w:val="0"/>
          <w:marRight w:val="0"/>
          <w:marTop w:val="0"/>
          <w:marBottom w:val="0"/>
          <w:divBdr>
            <w:top w:val="none" w:sz="0" w:space="0" w:color="auto"/>
            <w:left w:val="none" w:sz="0" w:space="0" w:color="auto"/>
            <w:bottom w:val="none" w:sz="0" w:space="0" w:color="auto"/>
            <w:right w:val="none" w:sz="0" w:space="0" w:color="auto"/>
          </w:divBdr>
          <w:divsChild>
            <w:div w:id="1219513819">
              <w:marLeft w:val="0"/>
              <w:marRight w:val="0"/>
              <w:marTop w:val="0"/>
              <w:marBottom w:val="0"/>
              <w:divBdr>
                <w:top w:val="none" w:sz="0" w:space="0" w:color="auto"/>
                <w:left w:val="none" w:sz="0" w:space="0" w:color="auto"/>
                <w:bottom w:val="none" w:sz="0" w:space="0" w:color="auto"/>
                <w:right w:val="none" w:sz="0" w:space="0" w:color="auto"/>
              </w:divBdr>
              <w:divsChild>
                <w:div w:id="17269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245">
      <w:bodyDiv w:val="1"/>
      <w:marLeft w:val="0"/>
      <w:marRight w:val="0"/>
      <w:marTop w:val="0"/>
      <w:marBottom w:val="0"/>
      <w:divBdr>
        <w:top w:val="none" w:sz="0" w:space="0" w:color="auto"/>
        <w:left w:val="none" w:sz="0" w:space="0" w:color="auto"/>
        <w:bottom w:val="none" w:sz="0" w:space="0" w:color="auto"/>
        <w:right w:val="none" w:sz="0" w:space="0" w:color="auto"/>
      </w:divBdr>
    </w:div>
    <w:div w:id="1934167218">
      <w:bodyDiv w:val="1"/>
      <w:marLeft w:val="0"/>
      <w:marRight w:val="0"/>
      <w:marTop w:val="0"/>
      <w:marBottom w:val="0"/>
      <w:divBdr>
        <w:top w:val="none" w:sz="0" w:space="0" w:color="auto"/>
        <w:left w:val="none" w:sz="0" w:space="0" w:color="auto"/>
        <w:bottom w:val="none" w:sz="0" w:space="0" w:color="auto"/>
        <w:right w:val="none" w:sz="0" w:space="0" w:color="auto"/>
      </w:divBdr>
      <w:divsChild>
        <w:div w:id="175578349">
          <w:marLeft w:val="0"/>
          <w:marRight w:val="0"/>
          <w:marTop w:val="0"/>
          <w:marBottom w:val="0"/>
          <w:divBdr>
            <w:top w:val="none" w:sz="0" w:space="0" w:color="auto"/>
            <w:left w:val="none" w:sz="0" w:space="0" w:color="auto"/>
            <w:bottom w:val="none" w:sz="0" w:space="0" w:color="auto"/>
            <w:right w:val="none" w:sz="0" w:space="0" w:color="auto"/>
          </w:divBdr>
        </w:div>
        <w:div w:id="841353987">
          <w:marLeft w:val="0"/>
          <w:marRight w:val="0"/>
          <w:marTop w:val="0"/>
          <w:marBottom w:val="0"/>
          <w:divBdr>
            <w:top w:val="none" w:sz="0" w:space="0" w:color="auto"/>
            <w:left w:val="none" w:sz="0" w:space="0" w:color="auto"/>
            <w:bottom w:val="none" w:sz="0" w:space="0" w:color="auto"/>
            <w:right w:val="none" w:sz="0" w:space="0" w:color="auto"/>
          </w:divBdr>
        </w:div>
      </w:divsChild>
    </w:div>
    <w:div w:id="1969315303">
      <w:bodyDiv w:val="1"/>
      <w:marLeft w:val="0"/>
      <w:marRight w:val="0"/>
      <w:marTop w:val="0"/>
      <w:marBottom w:val="0"/>
      <w:divBdr>
        <w:top w:val="none" w:sz="0" w:space="0" w:color="auto"/>
        <w:left w:val="none" w:sz="0" w:space="0" w:color="auto"/>
        <w:bottom w:val="none" w:sz="0" w:space="0" w:color="auto"/>
        <w:right w:val="none" w:sz="0" w:space="0" w:color="auto"/>
      </w:divBdr>
      <w:divsChild>
        <w:div w:id="2012483154">
          <w:marLeft w:val="0"/>
          <w:marRight w:val="0"/>
          <w:marTop w:val="0"/>
          <w:marBottom w:val="0"/>
          <w:divBdr>
            <w:top w:val="none" w:sz="0" w:space="0" w:color="auto"/>
            <w:left w:val="none" w:sz="0" w:space="0" w:color="auto"/>
            <w:bottom w:val="none" w:sz="0" w:space="0" w:color="auto"/>
            <w:right w:val="none" w:sz="0" w:space="0" w:color="auto"/>
          </w:divBdr>
          <w:divsChild>
            <w:div w:id="1760297480">
              <w:marLeft w:val="0"/>
              <w:marRight w:val="0"/>
              <w:marTop w:val="0"/>
              <w:marBottom w:val="0"/>
              <w:divBdr>
                <w:top w:val="none" w:sz="0" w:space="0" w:color="auto"/>
                <w:left w:val="none" w:sz="0" w:space="0" w:color="auto"/>
                <w:bottom w:val="none" w:sz="0" w:space="0" w:color="auto"/>
                <w:right w:val="none" w:sz="0" w:space="0" w:color="auto"/>
              </w:divBdr>
              <w:divsChild>
                <w:div w:id="1803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9237">
      <w:bodyDiv w:val="1"/>
      <w:marLeft w:val="0"/>
      <w:marRight w:val="0"/>
      <w:marTop w:val="0"/>
      <w:marBottom w:val="0"/>
      <w:divBdr>
        <w:top w:val="none" w:sz="0" w:space="0" w:color="auto"/>
        <w:left w:val="none" w:sz="0" w:space="0" w:color="auto"/>
        <w:bottom w:val="none" w:sz="0" w:space="0" w:color="auto"/>
        <w:right w:val="none" w:sz="0" w:space="0" w:color="auto"/>
      </w:divBdr>
    </w:div>
    <w:div w:id="1979608820">
      <w:bodyDiv w:val="1"/>
      <w:marLeft w:val="0"/>
      <w:marRight w:val="0"/>
      <w:marTop w:val="0"/>
      <w:marBottom w:val="0"/>
      <w:divBdr>
        <w:top w:val="none" w:sz="0" w:space="0" w:color="auto"/>
        <w:left w:val="none" w:sz="0" w:space="0" w:color="auto"/>
        <w:bottom w:val="none" w:sz="0" w:space="0" w:color="auto"/>
        <w:right w:val="none" w:sz="0" w:space="0" w:color="auto"/>
      </w:divBdr>
    </w:div>
    <w:div w:id="1985768552">
      <w:bodyDiv w:val="1"/>
      <w:marLeft w:val="0"/>
      <w:marRight w:val="0"/>
      <w:marTop w:val="0"/>
      <w:marBottom w:val="0"/>
      <w:divBdr>
        <w:top w:val="none" w:sz="0" w:space="0" w:color="auto"/>
        <w:left w:val="none" w:sz="0" w:space="0" w:color="auto"/>
        <w:bottom w:val="none" w:sz="0" w:space="0" w:color="auto"/>
        <w:right w:val="none" w:sz="0" w:space="0" w:color="auto"/>
      </w:divBdr>
      <w:divsChild>
        <w:div w:id="454370139">
          <w:marLeft w:val="0"/>
          <w:marRight w:val="0"/>
          <w:marTop w:val="0"/>
          <w:marBottom w:val="0"/>
          <w:divBdr>
            <w:top w:val="none" w:sz="0" w:space="0" w:color="auto"/>
            <w:left w:val="none" w:sz="0" w:space="0" w:color="auto"/>
            <w:bottom w:val="none" w:sz="0" w:space="0" w:color="auto"/>
            <w:right w:val="none" w:sz="0" w:space="0" w:color="auto"/>
          </w:divBdr>
          <w:divsChild>
            <w:div w:id="1671105230">
              <w:marLeft w:val="0"/>
              <w:marRight w:val="0"/>
              <w:marTop w:val="0"/>
              <w:marBottom w:val="0"/>
              <w:divBdr>
                <w:top w:val="none" w:sz="0" w:space="0" w:color="auto"/>
                <w:left w:val="none" w:sz="0" w:space="0" w:color="auto"/>
                <w:bottom w:val="none" w:sz="0" w:space="0" w:color="auto"/>
                <w:right w:val="none" w:sz="0" w:space="0" w:color="auto"/>
              </w:divBdr>
              <w:divsChild>
                <w:div w:id="201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99796">
      <w:bodyDiv w:val="1"/>
      <w:marLeft w:val="0"/>
      <w:marRight w:val="0"/>
      <w:marTop w:val="0"/>
      <w:marBottom w:val="0"/>
      <w:divBdr>
        <w:top w:val="none" w:sz="0" w:space="0" w:color="auto"/>
        <w:left w:val="none" w:sz="0" w:space="0" w:color="auto"/>
        <w:bottom w:val="none" w:sz="0" w:space="0" w:color="auto"/>
        <w:right w:val="none" w:sz="0" w:space="0" w:color="auto"/>
      </w:divBdr>
    </w:div>
    <w:div w:id="2005426480">
      <w:bodyDiv w:val="1"/>
      <w:marLeft w:val="0"/>
      <w:marRight w:val="0"/>
      <w:marTop w:val="0"/>
      <w:marBottom w:val="0"/>
      <w:divBdr>
        <w:top w:val="none" w:sz="0" w:space="0" w:color="auto"/>
        <w:left w:val="none" w:sz="0" w:space="0" w:color="auto"/>
        <w:bottom w:val="none" w:sz="0" w:space="0" w:color="auto"/>
        <w:right w:val="none" w:sz="0" w:space="0" w:color="auto"/>
      </w:divBdr>
      <w:divsChild>
        <w:div w:id="1719013650">
          <w:marLeft w:val="0"/>
          <w:marRight w:val="0"/>
          <w:marTop w:val="0"/>
          <w:marBottom w:val="0"/>
          <w:divBdr>
            <w:top w:val="none" w:sz="0" w:space="0" w:color="auto"/>
            <w:left w:val="none" w:sz="0" w:space="0" w:color="auto"/>
            <w:bottom w:val="none" w:sz="0" w:space="0" w:color="auto"/>
            <w:right w:val="none" w:sz="0" w:space="0" w:color="auto"/>
          </w:divBdr>
          <w:divsChild>
            <w:div w:id="651297628">
              <w:marLeft w:val="0"/>
              <w:marRight w:val="0"/>
              <w:marTop w:val="0"/>
              <w:marBottom w:val="0"/>
              <w:divBdr>
                <w:top w:val="none" w:sz="0" w:space="0" w:color="auto"/>
                <w:left w:val="none" w:sz="0" w:space="0" w:color="auto"/>
                <w:bottom w:val="none" w:sz="0" w:space="0" w:color="auto"/>
                <w:right w:val="none" w:sz="0" w:space="0" w:color="auto"/>
              </w:divBdr>
              <w:divsChild>
                <w:div w:id="549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7.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9.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09DAE6EF9AD54A85867E09F2ED73B90F"/>
        <w:category>
          <w:name w:val="General"/>
          <w:gallery w:val="placeholder"/>
        </w:category>
        <w:types>
          <w:type w:val="bbPlcHdr"/>
        </w:types>
        <w:behaviors>
          <w:behavior w:val="content"/>
        </w:behaviors>
        <w:guid w:val="{325DD56C-36D8-47C9-91C8-3FCCCFB1CF04}"/>
      </w:docPartPr>
      <w:docPartBody>
        <w:p w:rsidR="00E20B2B" w:rsidRDefault="00176649">
          <w:pPr>
            <w:pStyle w:val="09DAE6EF9AD54A85867E09F2ED73B90F"/>
          </w:pPr>
          <w:r w:rsidRPr="0097517F">
            <w:rPr>
              <w:highlight w:val="lightGray"/>
            </w:rPr>
            <w:t>[Document title]</w:t>
          </w:r>
          <w:r w:rsidRPr="0097517F">
            <w:rPr>
              <w:highlight w:val="lightGray"/>
            </w:rPr>
            <w:br/>
            <w:t>[five or six words]</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27D10"/>
    <w:rsid w:val="00042E15"/>
    <w:rsid w:val="00046084"/>
    <w:rsid w:val="000464E2"/>
    <w:rsid w:val="00064948"/>
    <w:rsid w:val="00067FDD"/>
    <w:rsid w:val="000B69C5"/>
    <w:rsid w:val="000D3881"/>
    <w:rsid w:val="000F124A"/>
    <w:rsid w:val="000F71CE"/>
    <w:rsid w:val="001054E5"/>
    <w:rsid w:val="001154EE"/>
    <w:rsid w:val="00117A66"/>
    <w:rsid w:val="00130981"/>
    <w:rsid w:val="00144EB5"/>
    <w:rsid w:val="0014742D"/>
    <w:rsid w:val="001624D1"/>
    <w:rsid w:val="00166E5E"/>
    <w:rsid w:val="001673B1"/>
    <w:rsid w:val="00171DDF"/>
    <w:rsid w:val="00176649"/>
    <w:rsid w:val="001856E2"/>
    <w:rsid w:val="001908AC"/>
    <w:rsid w:val="001C2B76"/>
    <w:rsid w:val="00241B10"/>
    <w:rsid w:val="00262FE0"/>
    <w:rsid w:val="002744CC"/>
    <w:rsid w:val="00295760"/>
    <w:rsid w:val="002A779B"/>
    <w:rsid w:val="002B51D6"/>
    <w:rsid w:val="002E4138"/>
    <w:rsid w:val="002F5B83"/>
    <w:rsid w:val="003019FA"/>
    <w:rsid w:val="00302E21"/>
    <w:rsid w:val="00336A4C"/>
    <w:rsid w:val="00340242"/>
    <w:rsid w:val="00353E6F"/>
    <w:rsid w:val="00363349"/>
    <w:rsid w:val="00370E00"/>
    <w:rsid w:val="00372052"/>
    <w:rsid w:val="003E49AA"/>
    <w:rsid w:val="003F7025"/>
    <w:rsid w:val="00402597"/>
    <w:rsid w:val="004029BC"/>
    <w:rsid w:val="004035F0"/>
    <w:rsid w:val="004321A8"/>
    <w:rsid w:val="004338BA"/>
    <w:rsid w:val="004511F3"/>
    <w:rsid w:val="00467EAD"/>
    <w:rsid w:val="00483359"/>
    <w:rsid w:val="00485F4F"/>
    <w:rsid w:val="004902C5"/>
    <w:rsid w:val="0049327B"/>
    <w:rsid w:val="004A190D"/>
    <w:rsid w:val="004C5B6A"/>
    <w:rsid w:val="004C5C6F"/>
    <w:rsid w:val="004D048A"/>
    <w:rsid w:val="004D6061"/>
    <w:rsid w:val="004E216F"/>
    <w:rsid w:val="004E61F7"/>
    <w:rsid w:val="0050650C"/>
    <w:rsid w:val="00525E12"/>
    <w:rsid w:val="0053103C"/>
    <w:rsid w:val="00532786"/>
    <w:rsid w:val="00533102"/>
    <w:rsid w:val="00533767"/>
    <w:rsid w:val="00543772"/>
    <w:rsid w:val="00546620"/>
    <w:rsid w:val="00550464"/>
    <w:rsid w:val="00554E6F"/>
    <w:rsid w:val="00570A40"/>
    <w:rsid w:val="0057600B"/>
    <w:rsid w:val="005808C3"/>
    <w:rsid w:val="005B3622"/>
    <w:rsid w:val="005C1B98"/>
    <w:rsid w:val="005C4259"/>
    <w:rsid w:val="005F2011"/>
    <w:rsid w:val="005F3A23"/>
    <w:rsid w:val="00603BAC"/>
    <w:rsid w:val="006210C6"/>
    <w:rsid w:val="00637296"/>
    <w:rsid w:val="00651217"/>
    <w:rsid w:val="00674C35"/>
    <w:rsid w:val="006859A7"/>
    <w:rsid w:val="00693771"/>
    <w:rsid w:val="00693D26"/>
    <w:rsid w:val="006D5CCF"/>
    <w:rsid w:val="006E3FBE"/>
    <w:rsid w:val="007002A3"/>
    <w:rsid w:val="00733F9C"/>
    <w:rsid w:val="0074365A"/>
    <w:rsid w:val="007502AA"/>
    <w:rsid w:val="00755175"/>
    <w:rsid w:val="00772876"/>
    <w:rsid w:val="00776008"/>
    <w:rsid w:val="00777F3E"/>
    <w:rsid w:val="007877B5"/>
    <w:rsid w:val="00796973"/>
    <w:rsid w:val="007C630C"/>
    <w:rsid w:val="007C7A0D"/>
    <w:rsid w:val="007E79B4"/>
    <w:rsid w:val="007F2E93"/>
    <w:rsid w:val="008101D7"/>
    <w:rsid w:val="0084026A"/>
    <w:rsid w:val="00890A65"/>
    <w:rsid w:val="008A45CB"/>
    <w:rsid w:val="008A5682"/>
    <w:rsid w:val="008B5ACE"/>
    <w:rsid w:val="008C4734"/>
    <w:rsid w:val="008C5B75"/>
    <w:rsid w:val="008E20AC"/>
    <w:rsid w:val="00921A0C"/>
    <w:rsid w:val="009375F9"/>
    <w:rsid w:val="00997839"/>
    <w:rsid w:val="009C28DC"/>
    <w:rsid w:val="009C2A94"/>
    <w:rsid w:val="00A00D84"/>
    <w:rsid w:val="00A1170E"/>
    <w:rsid w:val="00A20AA5"/>
    <w:rsid w:val="00A235FC"/>
    <w:rsid w:val="00A56ADC"/>
    <w:rsid w:val="00A63226"/>
    <w:rsid w:val="00A64D56"/>
    <w:rsid w:val="00A70906"/>
    <w:rsid w:val="00A91005"/>
    <w:rsid w:val="00AA27D6"/>
    <w:rsid w:val="00AA5CB5"/>
    <w:rsid w:val="00AE57F1"/>
    <w:rsid w:val="00B07AB3"/>
    <w:rsid w:val="00B32F64"/>
    <w:rsid w:val="00B41BDE"/>
    <w:rsid w:val="00B43495"/>
    <w:rsid w:val="00B4598C"/>
    <w:rsid w:val="00B655F5"/>
    <w:rsid w:val="00B715E6"/>
    <w:rsid w:val="00B90B93"/>
    <w:rsid w:val="00B93A10"/>
    <w:rsid w:val="00B94629"/>
    <w:rsid w:val="00BA0E6F"/>
    <w:rsid w:val="00BB501D"/>
    <w:rsid w:val="00BE06CE"/>
    <w:rsid w:val="00BE4C1E"/>
    <w:rsid w:val="00BE5E76"/>
    <w:rsid w:val="00BF439C"/>
    <w:rsid w:val="00C049A4"/>
    <w:rsid w:val="00C137A7"/>
    <w:rsid w:val="00C47B48"/>
    <w:rsid w:val="00C560D3"/>
    <w:rsid w:val="00C83C81"/>
    <w:rsid w:val="00C92D60"/>
    <w:rsid w:val="00C958BF"/>
    <w:rsid w:val="00CE7F6F"/>
    <w:rsid w:val="00CF058B"/>
    <w:rsid w:val="00D247C5"/>
    <w:rsid w:val="00D27B51"/>
    <w:rsid w:val="00D62B11"/>
    <w:rsid w:val="00D953DC"/>
    <w:rsid w:val="00DA065C"/>
    <w:rsid w:val="00DA3523"/>
    <w:rsid w:val="00DB103D"/>
    <w:rsid w:val="00DC0B04"/>
    <w:rsid w:val="00DC1566"/>
    <w:rsid w:val="00DD5BB4"/>
    <w:rsid w:val="00DD7103"/>
    <w:rsid w:val="00DE0BF0"/>
    <w:rsid w:val="00DE626B"/>
    <w:rsid w:val="00DF1DC7"/>
    <w:rsid w:val="00E004AB"/>
    <w:rsid w:val="00E20B2B"/>
    <w:rsid w:val="00E313E4"/>
    <w:rsid w:val="00E31CFF"/>
    <w:rsid w:val="00E478F7"/>
    <w:rsid w:val="00E5075B"/>
    <w:rsid w:val="00E607D2"/>
    <w:rsid w:val="00E9791D"/>
    <w:rsid w:val="00EB3726"/>
    <w:rsid w:val="00EB6734"/>
    <w:rsid w:val="00EC24E1"/>
    <w:rsid w:val="00ED0652"/>
    <w:rsid w:val="00EE13E0"/>
    <w:rsid w:val="00F00BA9"/>
    <w:rsid w:val="00F028DE"/>
    <w:rsid w:val="00F65A92"/>
    <w:rsid w:val="00F85296"/>
    <w:rsid w:val="00F87B63"/>
    <w:rsid w:val="00F9319D"/>
    <w:rsid w:val="00FB3AA2"/>
    <w:rsid w:val="00FC0427"/>
    <w:rsid w:val="00FD3AC7"/>
    <w:rsid w:val="00FF6B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8BA"/>
    <w:rPr>
      <w:i/>
      <w:color w:val="auto"/>
      <w:bdr w:val="none" w:sz="0" w:space="0" w:color="auto"/>
      <w:shd w:val="clear" w:color="auto" w:fill="auto"/>
    </w:rPr>
  </w:style>
  <w:style w:type="paragraph" w:customStyle="1" w:styleId="3098CCFC1C084B27A0835ABE43BA481F">
    <w:name w:val="3098CCFC1C084B27A0835ABE43BA481F"/>
  </w:style>
  <w:style w:type="paragraph" w:customStyle="1" w:styleId="09DAE6EF9AD54A85867E09F2ED73B90F">
    <w:name w:val="09DAE6EF9AD54A85867E09F2ED73B90F"/>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0500D-AC8B-4F82-BC19-375FF5C2BC83}">
  <ds:schemaRefs>
    <ds:schemaRef ds:uri="http://www.w3.org/XML/1998/namespace"/>
    <ds:schemaRef ds:uri="http://schemas.microsoft.com/office/2006/documentManagement/types"/>
    <ds:schemaRef ds:uri="http://schemas.openxmlformats.org/package/2006/metadata/core-properties"/>
    <ds:schemaRef ds:uri="fb1c2c90-7ebb-4f49-9b69-8e3e86b86080"/>
    <ds:schemaRef ds:uri="http://purl.org/dc/dcmitype/"/>
    <ds:schemaRef ds:uri="http://purl.org/dc/terms/"/>
    <ds:schemaRef ds:uri="http://schemas.microsoft.com/office/2006/metadata/properties"/>
    <ds:schemaRef ds:uri="7e6efeb2-6871-4338-8041-a3189fc08d76"/>
    <ds:schemaRef ds:uri="http://schemas.microsoft.com/office/infopath/2007/PartnerControls"/>
    <ds:schemaRef ds:uri="fe36b737-7a15-45c9-aa55-60b829812b9c"/>
    <ds:schemaRef ds:uri="http://purl.org/dc/elements/1.1/"/>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FCAF09AA-D0AD-49C2-9520-173D0042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69</TotalTime>
  <Pages>20</Pages>
  <Words>7470</Words>
  <Characters>42582</Characters>
  <Application>Microsoft Office Word</Application>
  <DocSecurity>8</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49953</CharactersWithSpaces>
  <SharedDoc>false</SharedDoc>
  <HLinks>
    <vt:vector size="126" baseType="variant">
      <vt:variant>
        <vt:i4>1441850</vt:i4>
      </vt:variant>
      <vt:variant>
        <vt:i4>122</vt:i4>
      </vt:variant>
      <vt:variant>
        <vt:i4>0</vt:i4>
      </vt:variant>
      <vt:variant>
        <vt:i4>5</vt:i4>
      </vt:variant>
      <vt:variant>
        <vt:lpwstr/>
      </vt:variant>
      <vt:variant>
        <vt:lpwstr>_Toc198817271</vt:lpwstr>
      </vt:variant>
      <vt:variant>
        <vt:i4>1441850</vt:i4>
      </vt:variant>
      <vt:variant>
        <vt:i4>116</vt:i4>
      </vt:variant>
      <vt:variant>
        <vt:i4>0</vt:i4>
      </vt:variant>
      <vt:variant>
        <vt:i4>5</vt:i4>
      </vt:variant>
      <vt:variant>
        <vt:lpwstr/>
      </vt:variant>
      <vt:variant>
        <vt:lpwstr>_Toc198817270</vt:lpwstr>
      </vt:variant>
      <vt:variant>
        <vt:i4>1507386</vt:i4>
      </vt:variant>
      <vt:variant>
        <vt:i4>110</vt:i4>
      </vt:variant>
      <vt:variant>
        <vt:i4>0</vt:i4>
      </vt:variant>
      <vt:variant>
        <vt:i4>5</vt:i4>
      </vt:variant>
      <vt:variant>
        <vt:lpwstr/>
      </vt:variant>
      <vt:variant>
        <vt:lpwstr>_Toc198817269</vt:lpwstr>
      </vt:variant>
      <vt:variant>
        <vt:i4>1507386</vt:i4>
      </vt:variant>
      <vt:variant>
        <vt:i4>104</vt:i4>
      </vt:variant>
      <vt:variant>
        <vt:i4>0</vt:i4>
      </vt:variant>
      <vt:variant>
        <vt:i4>5</vt:i4>
      </vt:variant>
      <vt:variant>
        <vt:lpwstr/>
      </vt:variant>
      <vt:variant>
        <vt:lpwstr>_Toc198817268</vt:lpwstr>
      </vt:variant>
      <vt:variant>
        <vt:i4>1507386</vt:i4>
      </vt:variant>
      <vt:variant>
        <vt:i4>98</vt:i4>
      </vt:variant>
      <vt:variant>
        <vt:i4>0</vt:i4>
      </vt:variant>
      <vt:variant>
        <vt:i4>5</vt:i4>
      </vt:variant>
      <vt:variant>
        <vt:lpwstr/>
      </vt:variant>
      <vt:variant>
        <vt:lpwstr>_Toc198817267</vt:lpwstr>
      </vt:variant>
      <vt:variant>
        <vt:i4>1507386</vt:i4>
      </vt:variant>
      <vt:variant>
        <vt:i4>92</vt:i4>
      </vt:variant>
      <vt:variant>
        <vt:i4>0</vt:i4>
      </vt:variant>
      <vt:variant>
        <vt:i4>5</vt:i4>
      </vt:variant>
      <vt:variant>
        <vt:lpwstr/>
      </vt:variant>
      <vt:variant>
        <vt:lpwstr>_Toc198817266</vt:lpwstr>
      </vt:variant>
      <vt:variant>
        <vt:i4>1507386</vt:i4>
      </vt:variant>
      <vt:variant>
        <vt:i4>86</vt:i4>
      </vt:variant>
      <vt:variant>
        <vt:i4>0</vt:i4>
      </vt:variant>
      <vt:variant>
        <vt:i4>5</vt:i4>
      </vt:variant>
      <vt:variant>
        <vt:lpwstr/>
      </vt:variant>
      <vt:variant>
        <vt:lpwstr>_Toc198817265</vt:lpwstr>
      </vt:variant>
      <vt:variant>
        <vt:i4>1507386</vt:i4>
      </vt:variant>
      <vt:variant>
        <vt:i4>80</vt:i4>
      </vt:variant>
      <vt:variant>
        <vt:i4>0</vt:i4>
      </vt:variant>
      <vt:variant>
        <vt:i4>5</vt:i4>
      </vt:variant>
      <vt:variant>
        <vt:lpwstr/>
      </vt:variant>
      <vt:variant>
        <vt:lpwstr>_Toc198817264</vt:lpwstr>
      </vt:variant>
      <vt:variant>
        <vt:i4>1507386</vt:i4>
      </vt:variant>
      <vt:variant>
        <vt:i4>74</vt:i4>
      </vt:variant>
      <vt:variant>
        <vt:i4>0</vt:i4>
      </vt:variant>
      <vt:variant>
        <vt:i4>5</vt:i4>
      </vt:variant>
      <vt:variant>
        <vt:lpwstr/>
      </vt:variant>
      <vt:variant>
        <vt:lpwstr>_Toc198817263</vt:lpwstr>
      </vt:variant>
      <vt:variant>
        <vt:i4>1507386</vt:i4>
      </vt:variant>
      <vt:variant>
        <vt:i4>68</vt:i4>
      </vt:variant>
      <vt:variant>
        <vt:i4>0</vt:i4>
      </vt:variant>
      <vt:variant>
        <vt:i4>5</vt:i4>
      </vt:variant>
      <vt:variant>
        <vt:lpwstr/>
      </vt:variant>
      <vt:variant>
        <vt:lpwstr>_Toc198817262</vt:lpwstr>
      </vt:variant>
      <vt:variant>
        <vt:i4>1507386</vt:i4>
      </vt:variant>
      <vt:variant>
        <vt:i4>62</vt:i4>
      </vt:variant>
      <vt:variant>
        <vt:i4>0</vt:i4>
      </vt:variant>
      <vt:variant>
        <vt:i4>5</vt:i4>
      </vt:variant>
      <vt:variant>
        <vt:lpwstr/>
      </vt:variant>
      <vt:variant>
        <vt:lpwstr>_Toc198817261</vt:lpwstr>
      </vt:variant>
      <vt:variant>
        <vt:i4>1507386</vt:i4>
      </vt:variant>
      <vt:variant>
        <vt:i4>56</vt:i4>
      </vt:variant>
      <vt:variant>
        <vt:i4>0</vt:i4>
      </vt:variant>
      <vt:variant>
        <vt:i4>5</vt:i4>
      </vt:variant>
      <vt:variant>
        <vt:lpwstr/>
      </vt:variant>
      <vt:variant>
        <vt:lpwstr>_Toc198817260</vt:lpwstr>
      </vt:variant>
      <vt:variant>
        <vt:i4>1310778</vt:i4>
      </vt:variant>
      <vt:variant>
        <vt:i4>50</vt:i4>
      </vt:variant>
      <vt:variant>
        <vt:i4>0</vt:i4>
      </vt:variant>
      <vt:variant>
        <vt:i4>5</vt:i4>
      </vt:variant>
      <vt:variant>
        <vt:lpwstr/>
      </vt:variant>
      <vt:variant>
        <vt:lpwstr>_Toc198817259</vt:lpwstr>
      </vt:variant>
      <vt:variant>
        <vt:i4>1310778</vt:i4>
      </vt:variant>
      <vt:variant>
        <vt:i4>44</vt:i4>
      </vt:variant>
      <vt:variant>
        <vt:i4>0</vt:i4>
      </vt:variant>
      <vt:variant>
        <vt:i4>5</vt:i4>
      </vt:variant>
      <vt:variant>
        <vt:lpwstr/>
      </vt:variant>
      <vt:variant>
        <vt:lpwstr>_Toc198817258</vt:lpwstr>
      </vt:variant>
      <vt:variant>
        <vt:i4>1310778</vt:i4>
      </vt:variant>
      <vt:variant>
        <vt:i4>38</vt:i4>
      </vt:variant>
      <vt:variant>
        <vt:i4>0</vt:i4>
      </vt:variant>
      <vt:variant>
        <vt:i4>5</vt:i4>
      </vt:variant>
      <vt:variant>
        <vt:lpwstr/>
      </vt:variant>
      <vt:variant>
        <vt:lpwstr>_Toc198817257</vt:lpwstr>
      </vt:variant>
      <vt:variant>
        <vt:i4>1310778</vt:i4>
      </vt:variant>
      <vt:variant>
        <vt:i4>32</vt:i4>
      </vt:variant>
      <vt:variant>
        <vt:i4>0</vt:i4>
      </vt:variant>
      <vt:variant>
        <vt:i4>5</vt:i4>
      </vt:variant>
      <vt:variant>
        <vt:lpwstr/>
      </vt:variant>
      <vt:variant>
        <vt:lpwstr>_Toc198817256</vt:lpwstr>
      </vt:variant>
      <vt:variant>
        <vt:i4>1310778</vt:i4>
      </vt:variant>
      <vt:variant>
        <vt:i4>26</vt:i4>
      </vt:variant>
      <vt:variant>
        <vt:i4>0</vt:i4>
      </vt:variant>
      <vt:variant>
        <vt:i4>5</vt:i4>
      </vt:variant>
      <vt:variant>
        <vt:lpwstr/>
      </vt:variant>
      <vt:variant>
        <vt:lpwstr>_Toc198817255</vt:lpwstr>
      </vt:variant>
      <vt:variant>
        <vt:i4>1310778</vt:i4>
      </vt:variant>
      <vt:variant>
        <vt:i4>20</vt:i4>
      </vt:variant>
      <vt:variant>
        <vt:i4>0</vt:i4>
      </vt:variant>
      <vt:variant>
        <vt:i4>5</vt:i4>
      </vt:variant>
      <vt:variant>
        <vt:lpwstr/>
      </vt:variant>
      <vt:variant>
        <vt:lpwstr>_Toc198817254</vt:lpwstr>
      </vt:variant>
      <vt:variant>
        <vt:i4>1310778</vt:i4>
      </vt:variant>
      <vt:variant>
        <vt:i4>14</vt:i4>
      </vt:variant>
      <vt:variant>
        <vt:i4>0</vt:i4>
      </vt:variant>
      <vt:variant>
        <vt:i4>5</vt:i4>
      </vt:variant>
      <vt:variant>
        <vt:lpwstr/>
      </vt:variant>
      <vt:variant>
        <vt:lpwstr>_Toc198817253</vt:lpwstr>
      </vt:variant>
      <vt:variant>
        <vt:i4>1310778</vt:i4>
      </vt:variant>
      <vt:variant>
        <vt:i4>8</vt:i4>
      </vt:variant>
      <vt:variant>
        <vt:i4>0</vt:i4>
      </vt:variant>
      <vt:variant>
        <vt:i4>5</vt:i4>
      </vt:variant>
      <vt:variant>
        <vt:lpwstr/>
      </vt:variant>
      <vt:variant>
        <vt:lpwstr>_Toc198817252</vt:lpwstr>
      </vt:variant>
      <vt:variant>
        <vt:i4>1310778</vt:i4>
      </vt:variant>
      <vt:variant>
        <vt:i4>2</vt:i4>
      </vt:variant>
      <vt:variant>
        <vt:i4>0</vt:i4>
      </vt:variant>
      <vt:variant>
        <vt:i4>5</vt:i4>
      </vt:variant>
      <vt:variant>
        <vt:lpwstr/>
      </vt:variant>
      <vt:variant>
        <vt:lpwstr>_Toc198817251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2025-03-03T09:48:00Z</cp:lastPrinted>
  <dcterms:created xsi:type="dcterms:W3CDTF">2025-05-22T02:44:00Z</dcterms:created>
  <dcterms:modified xsi:type="dcterms:W3CDTF">2025-06-19T01:33:00Z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117a951c,442ce483,77047d1c,79b44aea,1dd33681,783d08d,66f4fcee,4062e4d7,7378ee2,211a59a9,6e7ac016,75d96579,285d8d20,caa872f,6ccebcf3,5067641c,44e7ff2a,4c59fa2e,69fd8399,4be0ce26,50b66b24,60301166,6dd9843c</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ClassificationContentMarkingFooterShapeIds-1">
    <vt:lpwstr>1d6baa</vt:lpwstr>
  </property>
</Properties>
</file>