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F4C0B" w14:textId="1F23B05C" w:rsidR="005705E9" w:rsidRPr="005705E9" w:rsidRDefault="00F30B86" w:rsidP="00DF38A5">
      <w:r>
        <w:rPr>
          <w:noProof/>
        </w:rPr>
        <w:drawing>
          <wp:anchor distT="0" distB="0" distL="114300" distR="114300" simplePos="0" relativeHeight="251658244" behindDoc="0" locked="0" layoutInCell="1" allowOverlap="1" wp14:anchorId="6B5F85B3" wp14:editId="43AEBED2">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170">
        <w:t>f</w:t>
      </w:r>
    </w:p>
    <w:p w14:paraId="5AC5110B" w14:textId="77777777" w:rsidR="00132002" w:rsidRDefault="00132002">
      <w:pPr>
        <w:spacing w:after="160"/>
      </w:pPr>
    </w:p>
    <w:p w14:paraId="1E3745A3" w14:textId="77777777" w:rsidR="007B29C4" w:rsidRDefault="007B29C4">
      <w:pPr>
        <w:spacing w:after="160"/>
      </w:pPr>
    </w:p>
    <w:p w14:paraId="004C3BDA" w14:textId="77777777" w:rsidR="00650765" w:rsidRPr="00650765" w:rsidRDefault="00650765" w:rsidP="00650765"/>
    <w:p w14:paraId="3E021C8A" w14:textId="77777777" w:rsidR="00650765" w:rsidRPr="00650765" w:rsidRDefault="00650765" w:rsidP="00650765"/>
    <w:p w14:paraId="79A03F62" w14:textId="77777777" w:rsidR="00650765" w:rsidRDefault="00650765" w:rsidP="00650765">
      <w:pPr>
        <w:jc w:val="right"/>
      </w:pPr>
    </w:p>
    <w:p w14:paraId="4FF62DD6" w14:textId="77777777" w:rsidR="00650765" w:rsidRDefault="00650765" w:rsidP="00650765"/>
    <w:p w14:paraId="552BC509" w14:textId="77777777" w:rsidR="00650765" w:rsidRPr="00650765" w:rsidRDefault="00650765" w:rsidP="00650765">
      <w:pPr>
        <w:sectPr w:rsidR="00650765" w:rsidRPr="00650765" w:rsidSect="00831583">
          <w:headerReference w:type="even" r:id="rId12"/>
          <w:headerReference w:type="default" r:id="rId13"/>
          <w:footerReference w:type="even" r:id="rId14"/>
          <w:footerReference w:type="default" r:id="rId15"/>
          <w:footerReference w:type="first" r:id="rId16"/>
          <w:pgSz w:w="11906" w:h="16838" w:code="9"/>
          <w:pgMar w:top="1418" w:right="1418" w:bottom="1418" w:left="1418" w:header="1134" w:footer="340" w:gutter="0"/>
          <w:cols w:space="708"/>
          <w:titlePg/>
          <w:docGrid w:linePitch="360"/>
        </w:sectPr>
      </w:pPr>
    </w:p>
    <w:p w14:paraId="6ED7DA1F" w14:textId="00A90A9D" w:rsidR="00DB680C" w:rsidRPr="00DB680C" w:rsidRDefault="00DB680C" w:rsidP="00DB680C">
      <w:pPr>
        <w:pStyle w:val="BG"/>
        <w:framePr w:wrap="around"/>
      </w:pPr>
    </w:p>
    <w:p w14:paraId="790343FA" w14:textId="2E6650B6" w:rsidR="00517C08" w:rsidRDefault="00F85745" w:rsidP="007E5E6B">
      <w:pPr>
        <w:pStyle w:val="Heading1"/>
      </w:pPr>
      <w:bookmarkStart w:id="0" w:name="_Toc201047253"/>
      <w:r>
        <w:t>Groundwater</w:t>
      </w:r>
      <w:bookmarkEnd w:id="0"/>
    </w:p>
    <w:p w14:paraId="3ECADD0C" w14:textId="30C0CCBE" w:rsidR="00A14C55" w:rsidRDefault="00A14C55" w:rsidP="00A14C55">
      <w:pPr>
        <w:pStyle w:val="Introduction"/>
        <w:rPr>
          <w:lang w:val="en-GB"/>
        </w:rPr>
      </w:pPr>
      <w:r w:rsidRPr="686DF24D">
        <w:rPr>
          <w:lang w:val="en-GB"/>
        </w:rPr>
        <w:t>This chapter</w:t>
      </w:r>
      <w:r w:rsidR="007C3911">
        <w:rPr>
          <w:lang w:val="en-GB"/>
        </w:rPr>
        <w:t xml:space="preserve"> provides an </w:t>
      </w:r>
      <w:r w:rsidR="005C3FCC">
        <w:rPr>
          <w:lang w:val="en-GB"/>
        </w:rPr>
        <w:t xml:space="preserve">overview </w:t>
      </w:r>
      <w:r w:rsidR="007C3911">
        <w:rPr>
          <w:lang w:val="en-GB"/>
        </w:rPr>
        <w:t xml:space="preserve">of the </w:t>
      </w:r>
      <w:r w:rsidR="00E23553">
        <w:rPr>
          <w:lang w:val="en-GB"/>
        </w:rPr>
        <w:t xml:space="preserve">potential </w:t>
      </w:r>
      <w:r w:rsidR="00F85745">
        <w:rPr>
          <w:lang w:val="en-GB"/>
        </w:rPr>
        <w:t>groundwater</w:t>
      </w:r>
      <w:r w:rsidR="007C3911">
        <w:rPr>
          <w:lang w:val="en-GB"/>
        </w:rPr>
        <w:t xml:space="preserve"> impacts associated with the construction, operation and decommissioning of the Project. This chapter is based on </w:t>
      </w:r>
      <w:bookmarkStart w:id="1" w:name="_Hlk179374257"/>
      <w:r w:rsidR="00F85745" w:rsidRPr="00F85745">
        <w:rPr>
          <w:b/>
          <w:bCs/>
          <w:lang w:val="en-GB"/>
        </w:rPr>
        <w:t xml:space="preserve">Technical Report </w:t>
      </w:r>
      <w:r w:rsidR="00F85745">
        <w:rPr>
          <w:b/>
          <w:bCs/>
          <w:lang w:val="en-GB"/>
        </w:rPr>
        <w:t>S</w:t>
      </w:r>
      <w:r w:rsidR="00F85745" w:rsidRPr="00F85745">
        <w:rPr>
          <w:b/>
          <w:bCs/>
          <w:lang w:val="en-GB"/>
        </w:rPr>
        <w:t xml:space="preserve">: </w:t>
      </w:r>
      <w:r w:rsidR="00F85745">
        <w:rPr>
          <w:b/>
          <w:bCs/>
          <w:lang w:val="en-GB"/>
        </w:rPr>
        <w:t>Groundw</w:t>
      </w:r>
      <w:r w:rsidR="00F85745" w:rsidRPr="00F85745">
        <w:rPr>
          <w:b/>
          <w:bCs/>
          <w:lang w:val="en-GB"/>
        </w:rPr>
        <w:t>ater Impact Assessment</w:t>
      </w:r>
      <w:bookmarkEnd w:id="1"/>
      <w:r w:rsidRPr="686DF24D">
        <w:rPr>
          <w:lang w:val="en-GB"/>
        </w:rPr>
        <w:t xml:space="preserve">. </w:t>
      </w:r>
    </w:p>
    <w:p w14:paraId="57475842" w14:textId="32436A54" w:rsidR="00510C7E" w:rsidRPr="004E4625" w:rsidRDefault="00D67923" w:rsidP="00456A6D">
      <w:pPr>
        <w:rPr>
          <w:lang w:val="en-GB"/>
        </w:rPr>
      </w:pPr>
      <w:r w:rsidRPr="004E4625">
        <w:rPr>
          <w:lang w:val="en-GB"/>
        </w:rPr>
        <w:t xml:space="preserve">Groundwater refers to water </w:t>
      </w:r>
      <w:r w:rsidR="004E4625" w:rsidRPr="00456A6D">
        <w:rPr>
          <w:lang w:val="en-GB"/>
        </w:rPr>
        <w:t>found</w:t>
      </w:r>
      <w:r w:rsidR="004E4625" w:rsidRPr="004E4625">
        <w:rPr>
          <w:lang w:val="en-GB"/>
        </w:rPr>
        <w:t xml:space="preserve"> </w:t>
      </w:r>
      <w:r w:rsidRPr="004E4625">
        <w:rPr>
          <w:lang w:val="en-GB"/>
        </w:rPr>
        <w:t xml:space="preserve">beneath the </w:t>
      </w:r>
      <w:r w:rsidR="004E4625" w:rsidRPr="00456A6D">
        <w:rPr>
          <w:lang w:val="en-GB"/>
        </w:rPr>
        <w:t>E</w:t>
      </w:r>
      <w:r w:rsidRPr="004E4625">
        <w:rPr>
          <w:lang w:val="en-GB"/>
        </w:rPr>
        <w:t>arth’s surface</w:t>
      </w:r>
      <w:r w:rsidR="00D54DB7" w:rsidRPr="00456A6D">
        <w:rPr>
          <w:lang w:val="en-GB"/>
        </w:rPr>
        <w:t xml:space="preserve"> </w:t>
      </w:r>
      <w:r w:rsidRPr="004E4625">
        <w:rPr>
          <w:lang w:val="en-GB"/>
        </w:rPr>
        <w:t xml:space="preserve">that has seeped through the ground and </w:t>
      </w:r>
      <w:r w:rsidR="00971071" w:rsidRPr="004E4625">
        <w:rPr>
          <w:lang w:val="en-GB"/>
        </w:rPr>
        <w:t xml:space="preserve">is </w:t>
      </w:r>
      <w:r w:rsidRPr="004E4625">
        <w:rPr>
          <w:lang w:val="en-GB"/>
        </w:rPr>
        <w:t>stored in porous soils and rocks.</w:t>
      </w:r>
      <w:r w:rsidR="00D54DB7" w:rsidRPr="00456A6D">
        <w:rPr>
          <w:lang w:val="en-GB"/>
        </w:rPr>
        <w:t xml:space="preserve"> </w:t>
      </w:r>
      <w:r w:rsidR="00A351FD" w:rsidRPr="00A351FD">
        <w:rPr>
          <w:lang w:val="en-GB"/>
        </w:rPr>
        <w:t xml:space="preserve">Soils and rocks that </w:t>
      </w:r>
      <w:r w:rsidR="00A351FD">
        <w:rPr>
          <w:lang w:val="en-GB"/>
        </w:rPr>
        <w:t xml:space="preserve">store and </w:t>
      </w:r>
      <w:r w:rsidR="00A351FD" w:rsidRPr="00A351FD">
        <w:rPr>
          <w:lang w:val="en-GB"/>
        </w:rPr>
        <w:t>transmit large quantities of groundwater are known as aquifers</w:t>
      </w:r>
      <w:r w:rsidR="004E4625" w:rsidRPr="004E4625">
        <w:rPr>
          <w:lang w:val="en-GB"/>
        </w:rPr>
        <w:t xml:space="preserve">. The top of the saturated ground in an aquifer is called the </w:t>
      </w:r>
      <w:r w:rsidR="009E05DD">
        <w:rPr>
          <w:lang w:val="en-GB"/>
        </w:rPr>
        <w:t>watertable</w:t>
      </w:r>
      <w:r w:rsidR="004E4625" w:rsidRPr="004E4625">
        <w:rPr>
          <w:lang w:val="en-GB"/>
        </w:rPr>
        <w:t>. Aquifers can be replenished by rainfall or through interaction with surface water</w:t>
      </w:r>
      <w:r w:rsidRPr="004E4625">
        <w:rPr>
          <w:lang w:val="en-GB"/>
        </w:rPr>
        <w:t>.</w:t>
      </w:r>
    </w:p>
    <w:p w14:paraId="5043A835" w14:textId="77777777" w:rsidR="00051E23" w:rsidRDefault="00051E23" w:rsidP="00831583">
      <w:pPr>
        <w:pStyle w:val="Call-outboxHeadingwithicon"/>
        <w:framePr w:w="3049" w:hSpace="170" w:vSpace="170" w:wrap="around" w:hAnchor="page" w:x="7367" w:y="1098"/>
        <w:rPr>
          <w:lang w:val="en-GB"/>
        </w:rPr>
      </w:pPr>
      <w:r>
        <w:rPr>
          <w:lang w:val="en-GB"/>
        </w:rPr>
        <w:t xml:space="preserve"> Environmental values</w:t>
      </w:r>
    </w:p>
    <w:p w14:paraId="4E98D63D" w14:textId="4232069E" w:rsidR="00051E23" w:rsidRPr="00051E23" w:rsidRDefault="00051E23" w:rsidP="00831583">
      <w:pPr>
        <w:pStyle w:val="Call-outbox0"/>
        <w:framePr w:w="3049" w:hSpace="170" w:vSpace="170" w:wrap="around" w:hAnchor="page" w:x="7367" w:y="1098"/>
        <w:rPr>
          <w:lang w:val="en-GB"/>
        </w:rPr>
      </w:pPr>
      <w:r>
        <w:rPr>
          <w:lang w:val="en-GB"/>
        </w:rPr>
        <w:t xml:space="preserve">The environmental values of groundwater represent the uses, attributes, and functions of groundwater that are valued by the community for their ecological, social, cultural and economic benefits.  </w:t>
      </w:r>
    </w:p>
    <w:p w14:paraId="1612D7DF" w14:textId="2193DCC8" w:rsidR="00510C7E" w:rsidRDefault="004E4625" w:rsidP="00456A6D">
      <w:pPr>
        <w:rPr>
          <w:lang w:val="en-GB"/>
        </w:rPr>
      </w:pPr>
      <w:r w:rsidRPr="00456A6D">
        <w:rPr>
          <w:lang w:val="en-GB"/>
        </w:rPr>
        <w:t xml:space="preserve">The </w:t>
      </w:r>
      <w:r w:rsidR="00A351FD">
        <w:rPr>
          <w:lang w:val="en-GB"/>
        </w:rPr>
        <w:t>depth to</w:t>
      </w:r>
      <w:r w:rsidRPr="00456A6D">
        <w:rPr>
          <w:lang w:val="en-GB"/>
        </w:rPr>
        <w:t xml:space="preserve"> groundwater varies; it can be shallow in low-lying areas with surface water recharge and deep in high topography areas with low recharge. Groundwater quality also varies; it can be naturally saline due to salts from rocks or become contaminated from industrial discharges, agricultural practices, landfills, and other processes</w:t>
      </w:r>
      <w:r w:rsidR="00D67923" w:rsidRPr="004E4625">
        <w:rPr>
          <w:lang w:val="en-GB"/>
        </w:rPr>
        <w:t>.</w:t>
      </w:r>
    </w:p>
    <w:p w14:paraId="1DE29797" w14:textId="1CAAA548" w:rsidR="00D67923" w:rsidRDefault="00967537" w:rsidP="00456A6D">
      <w:pPr>
        <w:rPr>
          <w:lang w:val="en-GB"/>
        </w:rPr>
      </w:pPr>
      <w:r>
        <w:rPr>
          <w:lang w:val="en-GB"/>
        </w:rPr>
        <w:t xml:space="preserve">Groundwater has associated environmental values that are protected under the </w:t>
      </w:r>
      <w:r w:rsidRPr="000059BF">
        <w:rPr>
          <w:i/>
          <w:iCs/>
          <w:lang w:val="en-GB"/>
        </w:rPr>
        <w:t xml:space="preserve">Environment </w:t>
      </w:r>
      <w:r w:rsidR="00051E23" w:rsidRPr="000059BF">
        <w:rPr>
          <w:i/>
          <w:iCs/>
          <w:lang w:val="en-GB"/>
        </w:rPr>
        <w:t>Protection Act 2017</w:t>
      </w:r>
      <w:r w:rsidR="00511377">
        <w:rPr>
          <w:i/>
          <w:iCs/>
          <w:lang w:val="en-GB"/>
        </w:rPr>
        <w:t xml:space="preserve"> </w:t>
      </w:r>
      <w:r w:rsidR="00511377" w:rsidRPr="00431575">
        <w:rPr>
          <w:lang w:val="en-GB"/>
        </w:rPr>
        <w:t xml:space="preserve">(Vic) </w:t>
      </w:r>
      <w:r w:rsidR="00FB2E26">
        <w:rPr>
          <w:lang w:val="en-GB"/>
        </w:rPr>
        <w:t>(</w:t>
      </w:r>
      <w:r w:rsidR="00511377" w:rsidRPr="00431575">
        <w:rPr>
          <w:lang w:val="en-GB"/>
        </w:rPr>
        <w:t>Environment Protection Act</w:t>
      </w:r>
      <w:r w:rsidR="00FB2E26">
        <w:rPr>
          <w:lang w:val="en-GB"/>
        </w:rPr>
        <w:t>)</w:t>
      </w:r>
      <w:r w:rsidR="00051E23">
        <w:rPr>
          <w:lang w:val="en-GB"/>
        </w:rPr>
        <w:t xml:space="preserve"> and the </w:t>
      </w:r>
      <w:r w:rsidR="00051E23" w:rsidRPr="00431575">
        <w:rPr>
          <w:lang w:val="en-GB"/>
        </w:rPr>
        <w:t>Environment Reference Standard</w:t>
      </w:r>
      <w:r>
        <w:rPr>
          <w:lang w:val="en-GB"/>
        </w:rPr>
        <w:t>. These include its use as a</w:t>
      </w:r>
      <w:r w:rsidR="00A351FD" w:rsidRPr="00F63843">
        <w:rPr>
          <w:lang w:val="en-GB"/>
        </w:rPr>
        <w:t xml:space="preserve"> crucial source of fresh water for drinking, irrigation and industrial use.</w:t>
      </w:r>
      <w:r w:rsidR="00A351FD" w:rsidRPr="004E4625">
        <w:rPr>
          <w:lang w:val="en-GB"/>
        </w:rPr>
        <w:t xml:space="preserve"> </w:t>
      </w:r>
      <w:r w:rsidR="00D67923" w:rsidRPr="00D67923">
        <w:rPr>
          <w:lang w:val="en-GB"/>
        </w:rPr>
        <w:t>In some areas, groundwater</w:t>
      </w:r>
      <w:r>
        <w:rPr>
          <w:lang w:val="en-GB"/>
        </w:rPr>
        <w:t xml:space="preserve"> also</w:t>
      </w:r>
      <w:r w:rsidR="00D67923" w:rsidRPr="00D67923">
        <w:rPr>
          <w:lang w:val="en-GB"/>
        </w:rPr>
        <w:t xml:space="preserve"> plays an important role in sustaining aquatic and terrestrial ecosystems. These Groundwater Dependent Ecosystems (GDEs) rely on groundwater to support function</w:t>
      </w:r>
      <w:r w:rsidR="008E2093">
        <w:rPr>
          <w:lang w:val="en-GB"/>
        </w:rPr>
        <w:t>s such as</w:t>
      </w:r>
      <w:r w:rsidR="00D67923" w:rsidRPr="00D67923">
        <w:rPr>
          <w:lang w:val="en-GB"/>
        </w:rPr>
        <w:t xml:space="preserve"> springs, rivers, wetlands, vegetation, irrigation, and industrial uses. </w:t>
      </w:r>
      <w:r w:rsidR="00510C7E" w:rsidRPr="00510C7E">
        <w:rPr>
          <w:lang w:val="en-GB"/>
        </w:rPr>
        <w:t>Groundwater may sustain both aquatic and terrestrial biodiversity by supporting vegetation through deep root access, providing discharge to waterways as base flow or</w:t>
      </w:r>
      <w:r w:rsidR="008B78FD">
        <w:rPr>
          <w:lang w:val="en-GB"/>
        </w:rPr>
        <w:t>,</w:t>
      </w:r>
      <w:r w:rsidR="00510C7E" w:rsidRPr="00510C7E">
        <w:rPr>
          <w:lang w:val="en-GB"/>
        </w:rPr>
        <w:t xml:space="preserve"> in some cases</w:t>
      </w:r>
      <w:r w:rsidR="008B78FD">
        <w:rPr>
          <w:lang w:val="en-GB"/>
        </w:rPr>
        <w:t>,</w:t>
      </w:r>
      <w:r w:rsidR="00510C7E" w:rsidRPr="00510C7E">
        <w:rPr>
          <w:lang w:val="en-GB"/>
        </w:rPr>
        <w:t xml:space="preserve"> subterranean flow</w:t>
      </w:r>
      <w:r w:rsidR="008B78FD">
        <w:rPr>
          <w:lang w:val="en-GB"/>
        </w:rPr>
        <w:t>,</w:t>
      </w:r>
      <w:r w:rsidR="00510C7E" w:rsidRPr="00510C7E">
        <w:rPr>
          <w:lang w:val="en-GB"/>
        </w:rPr>
        <w:t xml:space="preserve"> and providing important inflows to sustain wetlands. </w:t>
      </w:r>
    </w:p>
    <w:p w14:paraId="3EA2EDA6" w14:textId="5F52E0AC" w:rsidR="00D67923" w:rsidRPr="00D67923" w:rsidRDefault="00D67923" w:rsidP="00456A6D">
      <w:pPr>
        <w:rPr>
          <w:lang w:val="en-GB"/>
        </w:rPr>
      </w:pPr>
      <w:r w:rsidRPr="00D67923">
        <w:rPr>
          <w:lang w:val="en-GB"/>
        </w:rPr>
        <w:t xml:space="preserve">The Project has </w:t>
      </w:r>
      <w:r w:rsidR="00990128">
        <w:rPr>
          <w:lang w:val="en-GB"/>
        </w:rPr>
        <w:t xml:space="preserve">the </w:t>
      </w:r>
      <w:r w:rsidRPr="00D67923">
        <w:rPr>
          <w:lang w:val="en-GB"/>
        </w:rPr>
        <w:t xml:space="preserve">potential to interact with groundwater where the depth of earthworks (such as levelling at terminal stations) or construction (such as tower footings) </w:t>
      </w:r>
      <w:r w:rsidR="00990128">
        <w:rPr>
          <w:lang w:val="en-GB"/>
        </w:rPr>
        <w:t>is</w:t>
      </w:r>
      <w:r w:rsidR="00990128" w:rsidRPr="00D67923">
        <w:rPr>
          <w:lang w:val="en-GB"/>
        </w:rPr>
        <w:t xml:space="preserve"> </w:t>
      </w:r>
      <w:r w:rsidRPr="00D67923">
        <w:rPr>
          <w:lang w:val="en-GB"/>
        </w:rPr>
        <w:t xml:space="preserve">below the </w:t>
      </w:r>
      <w:r w:rsidR="009E05DD">
        <w:rPr>
          <w:lang w:val="en-GB"/>
        </w:rPr>
        <w:t>watertable</w:t>
      </w:r>
      <w:r w:rsidRPr="00D67923">
        <w:rPr>
          <w:lang w:val="en-GB"/>
        </w:rPr>
        <w:t>.</w:t>
      </w:r>
    </w:p>
    <w:p w14:paraId="5F1BE5D2" w14:textId="60FC927A" w:rsidR="00517C08" w:rsidRPr="00FE4FB0" w:rsidRDefault="00A14C55" w:rsidP="007E5E6B">
      <w:pPr>
        <w:pStyle w:val="Heading2"/>
      </w:pPr>
      <w:bookmarkStart w:id="2" w:name="_Toc201047254"/>
      <w:r w:rsidRPr="00FE4FB0">
        <w:t>Evaluation objective</w:t>
      </w:r>
      <w:bookmarkEnd w:id="2"/>
    </w:p>
    <w:p w14:paraId="4C4C9FE6" w14:textId="16C095E8" w:rsidR="00136794" w:rsidRDefault="00A14C55" w:rsidP="00136794">
      <w:r w:rsidRPr="0AE81A1E">
        <w:t xml:space="preserve">The </w:t>
      </w:r>
      <w:r w:rsidR="00B33DAA" w:rsidRPr="0AE81A1E">
        <w:t xml:space="preserve">scoping </w:t>
      </w:r>
      <w:r w:rsidRPr="0AE81A1E">
        <w:t xml:space="preserve">requirements identify the following evaluation objective relevant to </w:t>
      </w:r>
      <w:r w:rsidR="00245993" w:rsidRPr="0AE81A1E">
        <w:t>groundwater:</w:t>
      </w:r>
    </w:p>
    <w:p w14:paraId="696C2009" w14:textId="77777777" w:rsidR="008A3B3C" w:rsidRPr="001B7D71" w:rsidRDefault="008A3B3C" w:rsidP="00831583">
      <w:pPr>
        <w:pStyle w:val="Call-outbox"/>
        <w:framePr w:w="8994" w:h="1176" w:hRule="exact" w:vSpace="170" w:wrap="around" w:y="6"/>
        <w:rPr>
          <w:b/>
        </w:rPr>
      </w:pPr>
      <w:r w:rsidRPr="001B7D71">
        <w:rPr>
          <w:b/>
        </w:rPr>
        <w:t>Evaluation objective</w:t>
      </w:r>
    </w:p>
    <w:p w14:paraId="7415FBCB" w14:textId="754394B5" w:rsidR="008A3B3C" w:rsidRPr="0067122B" w:rsidRDefault="008A3B3C" w:rsidP="00831583">
      <w:pPr>
        <w:pStyle w:val="Call-outbox"/>
        <w:framePr w:w="8994" w:h="1176" w:hRule="exact" w:vSpace="170" w:wrap="around" w:y="6"/>
      </w:pPr>
      <w:r w:rsidRPr="00163F96">
        <w:t>Maintain the functions and values of aquatic environments, surface water and groundwater quality and stream flows and prevent adverse effects on protected beneficial uses.</w:t>
      </w:r>
    </w:p>
    <w:p w14:paraId="5973EA74" w14:textId="731C15B4" w:rsidR="00F9041B" w:rsidRDefault="00A14C55" w:rsidP="00312ADE">
      <w:r w:rsidRPr="0AE81A1E">
        <w:t xml:space="preserve">In response to </w:t>
      </w:r>
      <w:r w:rsidR="00245993" w:rsidRPr="0AE81A1E">
        <w:t xml:space="preserve">this </w:t>
      </w:r>
      <w:r w:rsidRPr="0AE81A1E">
        <w:t xml:space="preserve">evaluation objective, </w:t>
      </w:r>
      <w:r w:rsidR="00B33DAA" w:rsidRPr="0AE81A1E">
        <w:t xml:space="preserve">the </w:t>
      </w:r>
      <w:r w:rsidR="009D3F89" w:rsidRPr="0AE81A1E">
        <w:t>impacts</w:t>
      </w:r>
      <w:r w:rsidRPr="0AE81A1E">
        <w:t xml:space="preserve"> of the </w:t>
      </w:r>
      <w:r w:rsidR="00F44324" w:rsidRPr="0AE81A1E">
        <w:t>P</w:t>
      </w:r>
      <w:r w:rsidRPr="0AE81A1E">
        <w:t xml:space="preserve">roject on </w:t>
      </w:r>
      <w:r w:rsidR="00245993" w:rsidRPr="0AE81A1E">
        <w:t>groundwater</w:t>
      </w:r>
      <w:r w:rsidRPr="0AE81A1E">
        <w:t xml:space="preserve"> </w:t>
      </w:r>
      <w:r w:rsidR="004232D2" w:rsidRPr="0AE81A1E">
        <w:t>were</w:t>
      </w:r>
      <w:r w:rsidRPr="0AE81A1E">
        <w:t xml:space="preserve"> assessed</w:t>
      </w:r>
      <w:r w:rsidR="00B33DAA" w:rsidRPr="0AE81A1E">
        <w:t>,</w:t>
      </w:r>
      <w:r w:rsidRPr="0AE81A1E">
        <w:t xml:space="preserve"> and measures to avoid, minimise or manage potential </w:t>
      </w:r>
      <w:r w:rsidR="009D3F89" w:rsidRPr="0AE81A1E">
        <w:t>impacts</w:t>
      </w:r>
      <w:r w:rsidRPr="0AE81A1E">
        <w:t xml:space="preserve"> have been identified. These measures are discussed throughout this chapter</w:t>
      </w:r>
      <w:r w:rsidR="00F9041B" w:rsidRPr="0AE81A1E">
        <w:t xml:space="preserve"> and </w:t>
      </w:r>
      <w:r w:rsidR="315EB105" w:rsidRPr="0AE81A1E">
        <w:t xml:space="preserve">have informed the development of </w:t>
      </w:r>
      <w:r w:rsidR="0012641D" w:rsidRPr="0AE81A1E">
        <w:t>Environmental Performance Requirements (</w:t>
      </w:r>
      <w:r w:rsidR="00F9041B" w:rsidRPr="0AE81A1E">
        <w:t>EPRs</w:t>
      </w:r>
      <w:r w:rsidR="0012641D" w:rsidRPr="0AE81A1E">
        <w:t>)</w:t>
      </w:r>
      <w:r w:rsidRPr="0AE81A1E">
        <w:t>.</w:t>
      </w:r>
      <w:r w:rsidR="00F9041B" w:rsidRPr="0AE81A1E">
        <w:t xml:space="preserve"> </w:t>
      </w:r>
      <w:r w:rsidR="004B63EE" w:rsidRPr="0AE81A1E">
        <w:t>EPRs set out the environmental outcomes to be achieved through the implementation of mitigation measures during construction, operation and decommissioning to avoid</w:t>
      </w:r>
      <w:r w:rsidR="00E23553">
        <w:t xml:space="preserve">, minimise and manage </w:t>
      </w:r>
      <w:r w:rsidR="004B63EE" w:rsidRPr="0AE81A1E">
        <w:t xml:space="preserve">identified impacts. Cumulative impacts associated with relevant future projects were also assessed. </w:t>
      </w:r>
    </w:p>
    <w:p w14:paraId="447130A7" w14:textId="524CA527" w:rsidR="00E72B0B" w:rsidRDefault="00A14C55" w:rsidP="00312ADE">
      <w:r>
        <w:t xml:space="preserve">Further information on how the </w:t>
      </w:r>
      <w:r w:rsidR="00F00CA8">
        <w:t>P</w:t>
      </w:r>
      <w:r>
        <w:t xml:space="preserve">roject has been designed to avoid and minimise </w:t>
      </w:r>
      <w:r w:rsidR="009D3F89">
        <w:t>impacts</w:t>
      </w:r>
      <w:r>
        <w:t xml:space="preserve"> is provided in </w:t>
      </w:r>
      <w:r w:rsidRPr="00A76620">
        <w:rPr>
          <w:b/>
          <w:bCs/>
        </w:rPr>
        <w:t xml:space="preserve">Chapter </w:t>
      </w:r>
      <w:r w:rsidR="00F00CA8" w:rsidRPr="00456A6D">
        <w:rPr>
          <w:b/>
          <w:bCs/>
        </w:rPr>
        <w:t>5:</w:t>
      </w:r>
      <w:r w:rsidRPr="00456A6D">
        <w:rPr>
          <w:b/>
          <w:bCs/>
        </w:rPr>
        <w:t xml:space="preserve"> </w:t>
      </w:r>
      <w:r w:rsidRPr="00A76620">
        <w:rPr>
          <w:b/>
          <w:bCs/>
        </w:rPr>
        <w:t>Project development</w:t>
      </w:r>
      <w:r w:rsidR="7DB8BA81">
        <w:t xml:space="preserve"> and </w:t>
      </w:r>
      <w:r w:rsidR="7DB8BA81" w:rsidRPr="00A76620">
        <w:rPr>
          <w:b/>
          <w:bCs/>
        </w:rPr>
        <w:t>Chapter 6</w:t>
      </w:r>
      <w:r w:rsidR="7DB8BA81" w:rsidRPr="246769EB">
        <w:rPr>
          <w:b/>
          <w:bCs/>
        </w:rPr>
        <w:t>:</w:t>
      </w:r>
      <w:r w:rsidR="7DB8BA81" w:rsidRPr="00A76620">
        <w:rPr>
          <w:b/>
          <w:bCs/>
        </w:rPr>
        <w:t xml:space="preserve"> Project description</w:t>
      </w:r>
      <w:r>
        <w:t>.</w:t>
      </w:r>
    </w:p>
    <w:p w14:paraId="3084F5FF" w14:textId="6CF1B48F" w:rsidR="00EE060D" w:rsidRDefault="00EE060D" w:rsidP="00136794">
      <w:r w:rsidRPr="0AE81A1E">
        <w:lastRenderedPageBreak/>
        <w:t xml:space="preserve">Other aspects covered in the </w:t>
      </w:r>
      <w:r w:rsidR="0049296F" w:rsidRPr="0AE81A1E">
        <w:t>Environment Effects Statement (</w:t>
      </w:r>
      <w:r w:rsidRPr="0AE81A1E">
        <w:t>EES</w:t>
      </w:r>
      <w:r w:rsidR="0049296F" w:rsidRPr="0AE81A1E">
        <w:t>)</w:t>
      </w:r>
      <w:r w:rsidRPr="0AE81A1E">
        <w:t xml:space="preserve"> evaluation objective </w:t>
      </w:r>
      <w:r w:rsidR="00790874" w:rsidRPr="0AE81A1E">
        <w:t xml:space="preserve">and relevant to groundwater </w:t>
      </w:r>
      <w:r w:rsidRPr="0AE81A1E">
        <w:t>are addressed in the following EES chapters</w:t>
      </w:r>
      <w:r w:rsidR="00D67923" w:rsidRPr="0AE81A1E">
        <w:t>:</w:t>
      </w:r>
    </w:p>
    <w:p w14:paraId="345F8B60" w14:textId="77777777" w:rsidR="006B7450" w:rsidRDefault="006B7450" w:rsidP="00D67923">
      <w:pPr>
        <w:pStyle w:val="ListBullet"/>
        <w:rPr>
          <w:b/>
          <w:bCs/>
        </w:rPr>
        <w:sectPr w:rsidR="006B7450" w:rsidSect="000325A5">
          <w:headerReference w:type="even" r:id="rId17"/>
          <w:headerReference w:type="default" r:id="rId18"/>
          <w:footerReference w:type="even" r:id="rId19"/>
          <w:footerReference w:type="default" r:id="rId20"/>
          <w:headerReference w:type="first" r:id="rId21"/>
          <w:footerReference w:type="first" r:id="rId22"/>
          <w:pgSz w:w="11906" w:h="16838" w:code="9"/>
          <w:pgMar w:top="1418" w:right="1418" w:bottom="1418" w:left="1418" w:header="1134" w:footer="340" w:gutter="0"/>
          <w:pgNumType w:start="1" w:chapStyle="1"/>
          <w:cols w:space="708"/>
          <w:docGrid w:linePitch="360"/>
        </w:sectPr>
      </w:pPr>
    </w:p>
    <w:p w14:paraId="265B1521" w14:textId="3842627E" w:rsidR="00D67923" w:rsidRPr="0027344F" w:rsidRDefault="00245993" w:rsidP="00D67923">
      <w:pPr>
        <w:pStyle w:val="ListBullet"/>
        <w:rPr>
          <w:b/>
          <w:bCs/>
        </w:rPr>
      </w:pPr>
      <w:r w:rsidRPr="0027344F">
        <w:rPr>
          <w:b/>
          <w:bCs/>
        </w:rPr>
        <w:t>Chapter 8</w:t>
      </w:r>
      <w:r w:rsidR="00D67923" w:rsidRPr="0027344F">
        <w:rPr>
          <w:b/>
          <w:bCs/>
        </w:rPr>
        <w:t>: Biodiversity</w:t>
      </w:r>
      <w:r w:rsidR="00217350" w:rsidRPr="0027344F">
        <w:rPr>
          <w:b/>
          <w:bCs/>
        </w:rPr>
        <w:t xml:space="preserve"> and habitat</w:t>
      </w:r>
    </w:p>
    <w:p w14:paraId="0F464A83" w14:textId="69DC0C87" w:rsidR="00D67923" w:rsidRPr="0027344F" w:rsidRDefault="00245993" w:rsidP="00D67923">
      <w:pPr>
        <w:pStyle w:val="ListBullet"/>
        <w:rPr>
          <w:b/>
          <w:bCs/>
        </w:rPr>
      </w:pPr>
      <w:r w:rsidRPr="0027344F">
        <w:rPr>
          <w:b/>
          <w:bCs/>
        </w:rPr>
        <w:t xml:space="preserve">Chapter </w:t>
      </w:r>
      <w:r w:rsidR="00AE2357">
        <w:rPr>
          <w:b/>
          <w:bCs/>
        </w:rPr>
        <w:t>22</w:t>
      </w:r>
      <w:r w:rsidRPr="0027344F">
        <w:rPr>
          <w:b/>
          <w:bCs/>
        </w:rPr>
        <w:t>:</w:t>
      </w:r>
      <w:r w:rsidR="00D67923" w:rsidRPr="0027344F">
        <w:rPr>
          <w:b/>
          <w:bCs/>
        </w:rPr>
        <w:t xml:space="preserve"> Geology and </w:t>
      </w:r>
      <w:r w:rsidR="00217350" w:rsidRPr="0027344F">
        <w:rPr>
          <w:b/>
          <w:bCs/>
        </w:rPr>
        <w:t>s</w:t>
      </w:r>
      <w:r w:rsidR="00D67923" w:rsidRPr="0027344F">
        <w:rPr>
          <w:b/>
          <w:bCs/>
        </w:rPr>
        <w:t>oils</w:t>
      </w:r>
    </w:p>
    <w:p w14:paraId="16A54DEC" w14:textId="020A663F" w:rsidR="00D67923" w:rsidRPr="0027344F" w:rsidRDefault="00245993" w:rsidP="00D67923">
      <w:pPr>
        <w:pStyle w:val="ListBullet"/>
        <w:rPr>
          <w:b/>
          <w:bCs/>
        </w:rPr>
      </w:pPr>
      <w:r w:rsidRPr="0027344F">
        <w:rPr>
          <w:b/>
          <w:bCs/>
        </w:rPr>
        <w:t xml:space="preserve">Chapter </w:t>
      </w:r>
      <w:r w:rsidR="0035256B">
        <w:rPr>
          <w:b/>
          <w:bCs/>
        </w:rPr>
        <w:t>23</w:t>
      </w:r>
      <w:r w:rsidR="00D67923" w:rsidRPr="0027344F">
        <w:rPr>
          <w:b/>
          <w:bCs/>
        </w:rPr>
        <w:t xml:space="preserve">: Contaminated </w:t>
      </w:r>
      <w:r w:rsidR="00217350" w:rsidRPr="0027344F">
        <w:rPr>
          <w:b/>
          <w:bCs/>
        </w:rPr>
        <w:t>l</w:t>
      </w:r>
      <w:r w:rsidR="00D67923" w:rsidRPr="0027344F">
        <w:rPr>
          <w:b/>
          <w:bCs/>
        </w:rPr>
        <w:t>and</w:t>
      </w:r>
      <w:r w:rsidR="003816C4">
        <w:rPr>
          <w:b/>
          <w:bCs/>
        </w:rPr>
        <w:t>.</w:t>
      </w:r>
    </w:p>
    <w:p w14:paraId="5072A8AE" w14:textId="77777777" w:rsidR="006B7450" w:rsidRDefault="006B7450" w:rsidP="00FE4FB0">
      <w:pPr>
        <w:pStyle w:val="Heading2"/>
        <w:sectPr w:rsidR="006B7450" w:rsidSect="0027344F">
          <w:type w:val="continuous"/>
          <w:pgSz w:w="11906" w:h="16838" w:code="9"/>
          <w:pgMar w:top="1418" w:right="1418" w:bottom="1418" w:left="1418" w:header="1134" w:footer="340" w:gutter="0"/>
          <w:cols w:num="2" w:space="708"/>
          <w:docGrid w:linePitch="360"/>
        </w:sectPr>
      </w:pPr>
    </w:p>
    <w:p w14:paraId="551BE1C7" w14:textId="1B19533D" w:rsidR="002B0409" w:rsidRDefault="00D10D9C" w:rsidP="007219A2">
      <w:pPr>
        <w:pStyle w:val="Heading2"/>
      </w:pPr>
      <w:bookmarkStart w:id="3" w:name="_Toc201047255"/>
      <w:r>
        <w:t>Method</w:t>
      </w:r>
      <w:bookmarkEnd w:id="3"/>
    </w:p>
    <w:p w14:paraId="40E87438" w14:textId="54FD8E06" w:rsidR="00790E98" w:rsidRDefault="009C5A84" w:rsidP="00D10D9C">
      <w:r>
        <w:t>Th</w:t>
      </w:r>
      <w:r w:rsidR="00A87BE0">
        <w:t>is</w:t>
      </w:r>
      <w:r w:rsidR="008E2C15">
        <w:t xml:space="preserve"> section summarises the method adopted in </w:t>
      </w:r>
      <w:r w:rsidR="008E2C15" w:rsidRPr="00F85745">
        <w:rPr>
          <w:b/>
          <w:bCs/>
          <w:lang w:val="en-GB"/>
        </w:rPr>
        <w:t xml:space="preserve">Technical Report </w:t>
      </w:r>
      <w:r w:rsidR="008E2C15">
        <w:rPr>
          <w:b/>
          <w:bCs/>
          <w:lang w:val="en-GB"/>
        </w:rPr>
        <w:t>S</w:t>
      </w:r>
      <w:r w:rsidR="008E2C15" w:rsidRPr="00F85745">
        <w:rPr>
          <w:b/>
          <w:bCs/>
          <w:lang w:val="en-GB"/>
        </w:rPr>
        <w:t xml:space="preserve">: </w:t>
      </w:r>
      <w:r w:rsidR="008E2C15">
        <w:rPr>
          <w:b/>
          <w:bCs/>
          <w:lang w:val="en-GB"/>
        </w:rPr>
        <w:t>Groundw</w:t>
      </w:r>
      <w:r w:rsidR="008E2C15" w:rsidRPr="00F85745">
        <w:rPr>
          <w:b/>
          <w:bCs/>
          <w:lang w:val="en-GB"/>
        </w:rPr>
        <w:t>ater Impact Assessment</w:t>
      </w:r>
      <w:r w:rsidR="008E2C15">
        <w:t xml:space="preserve">, which </w:t>
      </w:r>
      <w:r>
        <w:t>was</w:t>
      </w:r>
      <w:r w:rsidR="00B5721C">
        <w:t xml:space="preserve"> informed by</w:t>
      </w:r>
      <w:r w:rsidR="006A0606">
        <w:t xml:space="preserve"> </w:t>
      </w:r>
      <w:r w:rsidR="006A0606" w:rsidRPr="246769EB">
        <w:rPr>
          <w:b/>
          <w:bCs/>
        </w:rPr>
        <w:t>Chapter 4</w:t>
      </w:r>
      <w:r w:rsidRPr="246769EB">
        <w:rPr>
          <w:b/>
          <w:bCs/>
        </w:rPr>
        <w:t>:</w:t>
      </w:r>
      <w:r w:rsidR="006A0606" w:rsidRPr="246769EB">
        <w:rPr>
          <w:b/>
          <w:bCs/>
        </w:rPr>
        <w:t xml:space="preserve"> EES </w:t>
      </w:r>
      <w:r w:rsidR="00AC38C9">
        <w:rPr>
          <w:b/>
          <w:bCs/>
        </w:rPr>
        <w:t>a</w:t>
      </w:r>
      <w:r w:rsidR="006A0606" w:rsidRPr="246769EB">
        <w:rPr>
          <w:b/>
          <w:bCs/>
        </w:rPr>
        <w:t xml:space="preserve">ssessment </w:t>
      </w:r>
      <w:r w:rsidR="00AC38C9">
        <w:rPr>
          <w:b/>
          <w:bCs/>
        </w:rPr>
        <w:t>f</w:t>
      </w:r>
      <w:r w:rsidR="006A0606" w:rsidRPr="246769EB">
        <w:rPr>
          <w:b/>
          <w:bCs/>
        </w:rPr>
        <w:t>ramework</w:t>
      </w:r>
      <w:r w:rsidR="008F0E18">
        <w:rPr>
          <w:b/>
          <w:bCs/>
        </w:rPr>
        <w:t xml:space="preserve"> and approach</w:t>
      </w:r>
      <w:r w:rsidR="008E2C15">
        <w:t xml:space="preserve">. </w:t>
      </w:r>
      <w:r w:rsidR="006A0606">
        <w:t xml:space="preserve">The key steps in assessing </w:t>
      </w:r>
      <w:r w:rsidR="00790E98">
        <w:t xml:space="preserve">the impacts associated with </w:t>
      </w:r>
      <w:r w:rsidR="00790874">
        <w:t>ground</w:t>
      </w:r>
      <w:r w:rsidR="007C7468">
        <w:t>water</w:t>
      </w:r>
      <w:r w:rsidR="00790E98">
        <w:t xml:space="preserve"> included:</w:t>
      </w:r>
    </w:p>
    <w:p w14:paraId="45F0BD88" w14:textId="15C4DA7F" w:rsidR="0061256A" w:rsidRDefault="00692F67" w:rsidP="0061256A">
      <w:pPr>
        <w:pStyle w:val="ListBullet"/>
      </w:pPr>
      <w:r w:rsidRPr="0AE81A1E">
        <w:t>D</w:t>
      </w:r>
      <w:r w:rsidR="0050646D" w:rsidRPr="0AE81A1E">
        <w:t xml:space="preserve">efining a study area appropriate for </w:t>
      </w:r>
      <w:r w:rsidR="00245993" w:rsidRPr="0AE81A1E">
        <w:t>groundwater</w:t>
      </w:r>
      <w:r w:rsidR="0057616F" w:rsidRPr="0AE81A1E">
        <w:t xml:space="preserve"> as presented in</w:t>
      </w:r>
      <w:r w:rsidR="00217350" w:rsidRPr="0AE81A1E">
        <w:t xml:space="preserve"> </w:t>
      </w:r>
      <w:r w:rsidR="00217350">
        <w:fldChar w:fldCharType="begin"/>
      </w:r>
      <w:r w:rsidR="00217350">
        <w:instrText xml:space="preserve"> REF _Ref180148827 \h </w:instrText>
      </w:r>
      <w:r w:rsidR="00217350">
        <w:fldChar w:fldCharType="separate"/>
      </w:r>
      <w:r w:rsidR="00B42FF4" w:rsidRPr="003816C4">
        <w:t xml:space="preserve">Figure </w:t>
      </w:r>
      <w:r w:rsidR="00B42FF4" w:rsidRPr="00831583">
        <w:t>24</w:t>
      </w:r>
      <w:r w:rsidR="00B42FF4" w:rsidRPr="003816C4">
        <w:t>.</w:t>
      </w:r>
      <w:r w:rsidR="00B42FF4" w:rsidRPr="00831583">
        <w:t>1</w:t>
      </w:r>
      <w:r w:rsidR="00217350">
        <w:fldChar w:fldCharType="end"/>
      </w:r>
      <w:r w:rsidR="004E02A6" w:rsidRPr="0AE81A1E">
        <w:t>.</w:t>
      </w:r>
      <w:r w:rsidR="0061256A" w:rsidRPr="0AE81A1E">
        <w:t xml:space="preserve"> Th</w:t>
      </w:r>
      <w:r w:rsidR="00574483" w:rsidRPr="0AE81A1E">
        <w:t xml:space="preserve">is included the </w:t>
      </w:r>
      <w:r w:rsidR="0061256A" w:rsidRPr="0AE81A1E">
        <w:t>Project Land</w:t>
      </w:r>
      <w:r w:rsidR="00574483" w:rsidRPr="0AE81A1E">
        <w:t>,</w:t>
      </w:r>
      <w:r w:rsidR="0061256A" w:rsidRPr="0AE81A1E">
        <w:t xml:space="preserve"> portioned into three geographical areas to align with areas of common groundwater conditions across the Project:</w:t>
      </w:r>
    </w:p>
    <w:p w14:paraId="3FA3EDFC" w14:textId="1CAED0E2" w:rsidR="0061256A" w:rsidRDefault="0061256A" w:rsidP="007219A2">
      <w:pPr>
        <w:pStyle w:val="ListBullet2"/>
        <w:spacing w:after="120"/>
      </w:pPr>
      <w:r w:rsidRPr="0AE81A1E">
        <w:t xml:space="preserve">Western portion of the study area – </w:t>
      </w:r>
      <w:r w:rsidR="00574483" w:rsidRPr="0AE81A1E">
        <w:t xml:space="preserve">from </w:t>
      </w:r>
      <w:r w:rsidRPr="0AE81A1E">
        <w:t>the existing Bulgana Terminal Station and the new 500kV terminal station</w:t>
      </w:r>
      <w:r w:rsidR="00AC0A47" w:rsidRPr="0AE81A1E">
        <w:t xml:space="preserve"> near Bulgana</w:t>
      </w:r>
      <w:r w:rsidRPr="0AE81A1E">
        <w:t xml:space="preserve"> to the most easterly extent of the Pyrenees Formation</w:t>
      </w:r>
    </w:p>
    <w:p w14:paraId="0EEDC5C0" w14:textId="7484B4DC" w:rsidR="0061256A" w:rsidRDefault="0061256A" w:rsidP="007219A2">
      <w:pPr>
        <w:pStyle w:val="ListBullet2"/>
        <w:spacing w:after="120"/>
      </w:pPr>
      <w:r w:rsidRPr="0AE81A1E">
        <w:t>Central portion of the study area – from the Pyrenees Formation to the eastern boundary of the Bungaree Groundwater Management Area</w:t>
      </w:r>
    </w:p>
    <w:p w14:paraId="52C80B20" w14:textId="7ACA1F85" w:rsidR="0061256A" w:rsidRDefault="0061256A" w:rsidP="0061256A">
      <w:pPr>
        <w:pStyle w:val="ListBullet2"/>
      </w:pPr>
      <w:r w:rsidRPr="0AE81A1E">
        <w:t>Eastern portion of the study area – from the eastern boundary of the Bungaree Groundwater Management Area to the Sydenham Terminal Station. The area includes the existing Elaine Terminal Station</w:t>
      </w:r>
      <w:r w:rsidR="00464E0C" w:rsidRPr="0AE81A1E">
        <w:t>.</w:t>
      </w:r>
    </w:p>
    <w:p w14:paraId="495EB7BC" w14:textId="3B4A9910" w:rsidR="00692F67" w:rsidRPr="00DA0E51" w:rsidRDefault="006B7450" w:rsidP="007219A2">
      <w:pPr>
        <w:pStyle w:val="ListBullet"/>
        <w:numPr>
          <w:ilvl w:val="0"/>
          <w:numId w:val="0"/>
        </w:numPr>
        <w:ind w:left="284"/>
      </w:pPr>
      <w:r w:rsidRPr="0AE81A1E">
        <w:t>Gr</w:t>
      </w:r>
      <w:r w:rsidR="0061256A" w:rsidRPr="0AE81A1E">
        <w:t xml:space="preserve">oundwater and groundwater receptors adjacent to the study area </w:t>
      </w:r>
      <w:r w:rsidRPr="0AE81A1E">
        <w:t xml:space="preserve">were considered </w:t>
      </w:r>
      <w:r w:rsidR="0061256A" w:rsidRPr="0AE81A1E">
        <w:t>where they are hydraulically connected, relevant and within the Project Land</w:t>
      </w:r>
      <w:r w:rsidR="00DF0990" w:rsidRPr="0AE81A1E">
        <w:t>.</w:t>
      </w:r>
    </w:p>
    <w:p w14:paraId="2C8EB4F2" w14:textId="4790C553" w:rsidR="00692F67" w:rsidRDefault="00692F67" w:rsidP="00C41E5F">
      <w:pPr>
        <w:pStyle w:val="ListBullet"/>
      </w:pPr>
      <w:r w:rsidRPr="0AE81A1E">
        <w:t>R</w:t>
      </w:r>
      <w:r w:rsidR="0050646D" w:rsidRPr="0AE81A1E">
        <w:t>eviewing applicable Commonwealth and Victorian legislation, and relevant local, state and national standards, guidelines and policies</w:t>
      </w:r>
      <w:r w:rsidR="00DF0990" w:rsidRPr="0AE81A1E">
        <w:t>.</w:t>
      </w:r>
    </w:p>
    <w:p w14:paraId="6CC2C8A3" w14:textId="1E3E550C" w:rsidR="00550363" w:rsidRDefault="00692F67" w:rsidP="003D5E42">
      <w:pPr>
        <w:pStyle w:val="ListBullet"/>
      </w:pPr>
      <w:r>
        <w:t>C</w:t>
      </w:r>
      <w:r w:rsidR="0050646D" w:rsidRPr="00BF60FC">
        <w:t xml:space="preserve">onducting </w:t>
      </w:r>
      <w:r w:rsidR="00A6529E">
        <w:t xml:space="preserve">a </w:t>
      </w:r>
      <w:r w:rsidR="0050646D" w:rsidRPr="00BF60FC">
        <w:t xml:space="preserve">desktop review </w:t>
      </w:r>
      <w:r w:rsidR="005B36D2">
        <w:t xml:space="preserve">to </w:t>
      </w:r>
      <w:r w:rsidR="00D24143">
        <w:t>determine</w:t>
      </w:r>
      <w:r w:rsidR="005B36D2">
        <w:t xml:space="preserve"> the existing </w:t>
      </w:r>
      <w:r w:rsidR="00245993" w:rsidRPr="00245993">
        <w:t>groundwater</w:t>
      </w:r>
      <w:r w:rsidR="005B36D2" w:rsidRPr="00245993">
        <w:t xml:space="preserve"> conditions </w:t>
      </w:r>
      <w:r w:rsidR="008F0E18">
        <w:t>and g</w:t>
      </w:r>
      <w:r w:rsidR="008F0E18" w:rsidRPr="008F0E18">
        <w:t>roundwater environmental values</w:t>
      </w:r>
      <w:r w:rsidR="008F0E18">
        <w:t xml:space="preserve"> </w:t>
      </w:r>
      <w:r w:rsidR="005B36D2">
        <w:t>including</w:t>
      </w:r>
      <w:r w:rsidR="00550363">
        <w:t>:</w:t>
      </w:r>
    </w:p>
    <w:p w14:paraId="15C17D1C" w14:textId="1777F027" w:rsidR="00550363" w:rsidRDefault="00550363" w:rsidP="007219A2">
      <w:pPr>
        <w:pStyle w:val="ListBullet2"/>
        <w:spacing w:after="120"/>
      </w:pPr>
      <w:r>
        <w:t>Geological and hydrogeological setting</w:t>
      </w:r>
    </w:p>
    <w:p w14:paraId="3AE95CC6" w14:textId="6F44B679" w:rsidR="00550363" w:rsidRPr="003660CE" w:rsidRDefault="00550363" w:rsidP="007219A2">
      <w:pPr>
        <w:pStyle w:val="ListBullet2"/>
        <w:spacing w:after="120"/>
      </w:pPr>
      <w:r w:rsidRPr="0AE81A1E">
        <w:t>Groundwater levels, flow and recharge</w:t>
      </w:r>
    </w:p>
    <w:p w14:paraId="2598DF9A" w14:textId="3A19238A" w:rsidR="00550363" w:rsidRPr="003660CE" w:rsidRDefault="00550363" w:rsidP="007219A2">
      <w:pPr>
        <w:pStyle w:val="ListBullet2"/>
        <w:spacing w:after="120"/>
      </w:pPr>
      <w:r>
        <w:t>Groundwater quality</w:t>
      </w:r>
    </w:p>
    <w:p w14:paraId="74C6D3A2" w14:textId="5A47EFF6" w:rsidR="00550363" w:rsidRDefault="00550363" w:rsidP="007219A2">
      <w:pPr>
        <w:pStyle w:val="ListBullet2"/>
        <w:spacing w:after="120"/>
      </w:pPr>
      <w:r>
        <w:t xml:space="preserve">Groundwater use and </w:t>
      </w:r>
      <w:r w:rsidR="008A3B3C">
        <w:t>GDEs</w:t>
      </w:r>
      <w:r w:rsidR="00464E0C">
        <w:t>.</w:t>
      </w:r>
    </w:p>
    <w:p w14:paraId="75D1700D" w14:textId="731272AC" w:rsidR="00A6529E" w:rsidRDefault="00B235B0" w:rsidP="007219A2">
      <w:pPr>
        <w:pStyle w:val="ListBullet"/>
        <w:numPr>
          <w:ilvl w:val="0"/>
          <w:numId w:val="0"/>
        </w:numPr>
        <w:spacing w:after="120"/>
        <w:ind w:left="284"/>
      </w:pPr>
      <w:r>
        <w:t xml:space="preserve">The following data </w:t>
      </w:r>
      <w:r w:rsidR="00A6529E">
        <w:t xml:space="preserve">sources and reference standards were reviewed: </w:t>
      </w:r>
    </w:p>
    <w:p w14:paraId="207BF8B2" w14:textId="37283CE9" w:rsidR="00550363" w:rsidRDefault="00550363" w:rsidP="007219A2">
      <w:pPr>
        <w:pStyle w:val="ListBullet2"/>
        <w:spacing w:after="120"/>
      </w:pPr>
      <w:r>
        <w:t xml:space="preserve">Public databases </w:t>
      </w:r>
      <w:r w:rsidR="0061256A">
        <w:t xml:space="preserve">for data related to depth to </w:t>
      </w:r>
      <w:r w:rsidR="009E05DD">
        <w:t>watertable</w:t>
      </w:r>
      <w:r w:rsidR="0061256A">
        <w:t xml:space="preserve">, groundwater salinity, GDEs, spring locations, surface geology, groundwater users, water courses, and wetlands. </w:t>
      </w:r>
      <w:r w:rsidR="00F00CA8">
        <w:t xml:space="preserve">A full </w:t>
      </w:r>
      <w:r w:rsidR="00AC0A47">
        <w:t xml:space="preserve">list of </w:t>
      </w:r>
      <w:r w:rsidR="0061256A">
        <w:t xml:space="preserve">public databases </w:t>
      </w:r>
      <w:r w:rsidR="00F00CA8">
        <w:t xml:space="preserve">accessed </w:t>
      </w:r>
      <w:r w:rsidR="0061256A">
        <w:t xml:space="preserve">are listed in Section 5.8 of </w:t>
      </w:r>
      <w:r w:rsidR="0061256A" w:rsidRPr="0061256A">
        <w:rPr>
          <w:b/>
          <w:bCs/>
        </w:rPr>
        <w:t>Technical Report S: Groundwater Impact Assessment</w:t>
      </w:r>
    </w:p>
    <w:p w14:paraId="5BF0F001" w14:textId="34C17813" w:rsidR="0061256A" w:rsidRDefault="0061256A" w:rsidP="007219A2">
      <w:pPr>
        <w:pStyle w:val="ListBullet2"/>
        <w:spacing w:after="120"/>
      </w:pPr>
      <w:r>
        <w:t>Geological mapping</w:t>
      </w:r>
    </w:p>
    <w:p w14:paraId="51D618CA" w14:textId="7D283B27" w:rsidR="0061256A" w:rsidRDefault="0061256A" w:rsidP="00A6529E">
      <w:pPr>
        <w:pStyle w:val="ListBullet2"/>
      </w:pPr>
      <w:r>
        <w:t xml:space="preserve">Licensed bore data through engagement with Southern Rural Water, Goulburn-Murray Water, and </w:t>
      </w:r>
      <w:r w:rsidRPr="0061256A">
        <w:t>Grampians-Wimmera Mallee</w:t>
      </w:r>
      <w:r>
        <w:t xml:space="preserve"> Water.</w:t>
      </w:r>
    </w:p>
    <w:p w14:paraId="30D9B348" w14:textId="40DB23E9" w:rsidR="00574483" w:rsidRDefault="00574483" w:rsidP="007219A2">
      <w:pPr>
        <w:pStyle w:val="ListBullet"/>
        <w:numPr>
          <w:ilvl w:val="0"/>
          <w:numId w:val="0"/>
        </w:numPr>
        <w:ind w:left="284"/>
      </w:pPr>
      <w:r w:rsidRPr="0AE81A1E">
        <w:t xml:space="preserve">Groundwater related fieldwork was not conducted </w:t>
      </w:r>
      <w:r w:rsidR="00AE2357" w:rsidRPr="0AE81A1E">
        <w:t>a</w:t>
      </w:r>
      <w:r w:rsidR="00DC1F91" w:rsidRPr="0AE81A1E">
        <w:t>s a</w:t>
      </w:r>
      <w:r w:rsidRPr="0AE81A1E">
        <w:t xml:space="preserve"> desktop assessment of the Project design and known groundwater values w</w:t>
      </w:r>
      <w:r w:rsidR="001B58BD" w:rsidRPr="0AE81A1E">
        <w:t>ere</w:t>
      </w:r>
      <w:r w:rsidRPr="0AE81A1E">
        <w:t xml:space="preserve"> sufficient to identify potential groundwater impacts and develop </w:t>
      </w:r>
      <w:r w:rsidR="00846128" w:rsidRPr="0AE81A1E">
        <w:t>EPRs</w:t>
      </w:r>
      <w:r w:rsidRPr="0AE81A1E">
        <w:t xml:space="preserve">. Other technical </w:t>
      </w:r>
      <w:r w:rsidR="00511377" w:rsidRPr="0AE81A1E">
        <w:t>report</w:t>
      </w:r>
      <w:r w:rsidR="00E0148C">
        <w:t>s</w:t>
      </w:r>
      <w:r w:rsidR="00511377" w:rsidRPr="0AE81A1E">
        <w:t xml:space="preserve"> </w:t>
      </w:r>
      <w:r w:rsidRPr="0AE81A1E">
        <w:t>have included extensive field surveys (</w:t>
      </w:r>
      <w:r w:rsidRPr="0AE81A1E">
        <w:rPr>
          <w:b/>
          <w:bCs/>
        </w:rPr>
        <w:t>Technical Report A:</w:t>
      </w:r>
      <w:r w:rsidRPr="0AE81A1E">
        <w:t xml:space="preserve"> </w:t>
      </w:r>
      <w:r w:rsidRPr="0AE81A1E">
        <w:rPr>
          <w:b/>
          <w:bCs/>
        </w:rPr>
        <w:t>Biodiversity Impact Assessment</w:t>
      </w:r>
      <w:r w:rsidRPr="0AE81A1E">
        <w:t>), or site visits (</w:t>
      </w:r>
      <w:r w:rsidRPr="0AE81A1E">
        <w:rPr>
          <w:b/>
          <w:bCs/>
        </w:rPr>
        <w:t>Technical Report R: Contaminated Land Impact Assessment</w:t>
      </w:r>
      <w:r w:rsidRPr="0AE81A1E">
        <w:t xml:space="preserve"> and </w:t>
      </w:r>
      <w:r w:rsidRPr="0AE81A1E">
        <w:rPr>
          <w:b/>
          <w:bCs/>
        </w:rPr>
        <w:t>Technical Report Q: Geology and Soils Impact Assessment</w:t>
      </w:r>
      <w:r w:rsidRPr="0AE81A1E">
        <w:t xml:space="preserve">) that provided additional information </w:t>
      </w:r>
      <w:r w:rsidR="00CA41B8" w:rsidRPr="0AE81A1E">
        <w:t xml:space="preserve">to inform </w:t>
      </w:r>
      <w:r w:rsidRPr="0AE81A1E">
        <w:t xml:space="preserve">the groundwater </w:t>
      </w:r>
      <w:r w:rsidR="00CA41B8" w:rsidRPr="0AE81A1E">
        <w:t xml:space="preserve">impact </w:t>
      </w:r>
      <w:r w:rsidRPr="0AE81A1E">
        <w:t>assessment.</w:t>
      </w:r>
    </w:p>
    <w:p w14:paraId="71F9C202" w14:textId="31FD6F92" w:rsidR="002437D8" w:rsidRDefault="002437D8" w:rsidP="007219A2">
      <w:pPr>
        <w:pStyle w:val="ListBullet"/>
        <w:keepLines/>
      </w:pPr>
      <w:r w:rsidRPr="0061256A">
        <w:lastRenderedPageBreak/>
        <w:t>Consulting with the relevant regulatory authorities and key stakeholders</w:t>
      </w:r>
      <w:r w:rsidR="5669E9BE" w:rsidRPr="0061256A">
        <w:t xml:space="preserve"> including </w:t>
      </w:r>
      <w:r w:rsidR="00F00CA8">
        <w:t xml:space="preserve">the </w:t>
      </w:r>
      <w:r w:rsidR="0061256A" w:rsidRPr="0061256A">
        <w:t>D</w:t>
      </w:r>
      <w:r w:rsidR="00F00CA8">
        <w:t xml:space="preserve">epartment of </w:t>
      </w:r>
      <w:r w:rsidR="0061256A" w:rsidRPr="0061256A">
        <w:t>E</w:t>
      </w:r>
      <w:r w:rsidR="00F00CA8">
        <w:t xml:space="preserve">nergy, </w:t>
      </w:r>
      <w:r w:rsidR="0061256A" w:rsidRPr="0061256A">
        <w:t>E</w:t>
      </w:r>
      <w:r w:rsidR="00F00CA8">
        <w:t xml:space="preserve">nvironment and </w:t>
      </w:r>
      <w:r w:rsidR="0061256A" w:rsidRPr="0061256A">
        <w:t>C</w:t>
      </w:r>
      <w:r w:rsidR="00F00CA8">
        <w:t xml:space="preserve">limate </w:t>
      </w:r>
      <w:r w:rsidR="0061256A" w:rsidRPr="0061256A">
        <w:t>A</w:t>
      </w:r>
      <w:r w:rsidR="00F00CA8">
        <w:t>ction (DEECA)</w:t>
      </w:r>
      <w:r w:rsidR="0061256A" w:rsidRPr="0061256A">
        <w:t xml:space="preserve">, </w:t>
      </w:r>
      <w:r w:rsidR="00F00CA8">
        <w:t xml:space="preserve">the </w:t>
      </w:r>
      <w:r w:rsidR="0061256A" w:rsidRPr="0061256A">
        <w:t>E</w:t>
      </w:r>
      <w:r w:rsidR="00F00CA8">
        <w:t xml:space="preserve">nvironment </w:t>
      </w:r>
      <w:r w:rsidR="0061256A" w:rsidRPr="0061256A">
        <w:t>P</w:t>
      </w:r>
      <w:r w:rsidR="00F00CA8">
        <w:t xml:space="preserve">rotection </w:t>
      </w:r>
      <w:r w:rsidR="0061256A" w:rsidRPr="0061256A">
        <w:t>A</w:t>
      </w:r>
      <w:r w:rsidR="00F00CA8">
        <w:t xml:space="preserve">uthority </w:t>
      </w:r>
      <w:r w:rsidR="00F33616">
        <w:t xml:space="preserve">Victoria </w:t>
      </w:r>
      <w:r w:rsidR="00F00CA8">
        <w:t>(EPA)</w:t>
      </w:r>
      <w:r w:rsidR="0061256A" w:rsidRPr="0061256A">
        <w:t xml:space="preserve">, </w:t>
      </w:r>
      <w:r w:rsidR="00F33616">
        <w:t xml:space="preserve">Councils, </w:t>
      </w:r>
      <w:r w:rsidR="0061256A" w:rsidRPr="0061256A">
        <w:t xml:space="preserve">Catchment Management Authorities (Wimmera, North Central, Corangamite, Glenelg Hopkins and Melbourne Water), Southern </w:t>
      </w:r>
      <w:r w:rsidR="0061256A">
        <w:t xml:space="preserve">Rural Water, Goulburn-Murray Water, and </w:t>
      </w:r>
      <w:r w:rsidR="0061256A" w:rsidRPr="0061256A">
        <w:t>Grampians-Wimmera Mallee</w:t>
      </w:r>
      <w:r w:rsidR="0061256A">
        <w:t xml:space="preserve"> Water</w:t>
      </w:r>
      <w:bookmarkStart w:id="4" w:name="_Hlk183459062"/>
      <w:bookmarkStart w:id="5" w:name="_Hlk182234886"/>
      <w:r w:rsidR="005D2C9E">
        <w:t xml:space="preserve">, and reviewing the pins dropped by community members </w:t>
      </w:r>
      <w:r w:rsidR="008764D3">
        <w:t>onto</w:t>
      </w:r>
      <w:r w:rsidR="005D2C9E">
        <w:t xml:space="preserve"> the Project’s Social Pinpoint online mapping tool</w:t>
      </w:r>
      <w:r w:rsidR="008764D3">
        <w:t>,</w:t>
      </w:r>
      <w:r w:rsidR="005D2C9E">
        <w:t xml:space="preserve"> which identified locations, features and values of importance</w:t>
      </w:r>
      <w:bookmarkEnd w:id="4"/>
      <w:r w:rsidR="00DF0990">
        <w:t>.</w:t>
      </w:r>
      <w:r w:rsidR="005D2C9E">
        <w:t xml:space="preserve"> </w:t>
      </w:r>
      <w:bookmarkEnd w:id="5"/>
      <w:r w:rsidR="005D2C9E">
        <w:t xml:space="preserve"> </w:t>
      </w:r>
      <w:r w:rsidR="00365D81">
        <w:t xml:space="preserve"> </w:t>
      </w:r>
    </w:p>
    <w:p w14:paraId="6753D8CC" w14:textId="111920A6" w:rsidR="00967537" w:rsidRDefault="00967537" w:rsidP="000059BF">
      <w:pPr>
        <w:pStyle w:val="ListBullet"/>
      </w:pPr>
      <w:r>
        <w:t xml:space="preserve">Developing a </w:t>
      </w:r>
      <w:r w:rsidRPr="003660CE">
        <w:t>hydrogeological conceptual model</w:t>
      </w:r>
      <w:r w:rsidR="00035EF1">
        <w:t xml:space="preserve"> </w:t>
      </w:r>
      <w:r>
        <w:t>to characterise the existing groundwater conditions within the study area, that describes</w:t>
      </w:r>
      <w:r w:rsidRPr="003660CE">
        <w:t xml:space="preserve">: </w:t>
      </w:r>
    </w:p>
    <w:p w14:paraId="16B0E5C0" w14:textId="77777777" w:rsidR="00967537" w:rsidRDefault="00967537" w:rsidP="007219A2">
      <w:pPr>
        <w:pStyle w:val="ListBullet2"/>
        <w:spacing w:after="120" w:line="240" w:lineRule="auto"/>
      </w:pPr>
      <w:r>
        <w:t>Major aquifers present (with particular focus on those within 25m of the surface, as these have potential to be intersected by the Project), groundwater levels, groundwater flow directions, potential for groundwater-surface water interactions, groundwater salinity and associated environmental values</w:t>
      </w:r>
    </w:p>
    <w:p w14:paraId="1B6AAFD9" w14:textId="77777777" w:rsidR="00967537" w:rsidRDefault="00967537" w:rsidP="007219A2">
      <w:pPr>
        <w:pStyle w:val="ListBullet2"/>
        <w:spacing w:after="120" w:line="240" w:lineRule="auto"/>
      </w:pPr>
      <w:r>
        <w:t>Local groundwater users (e.g., bores and groundwater fed dams)</w:t>
      </w:r>
    </w:p>
    <w:p w14:paraId="66E8DB0A" w14:textId="7B81C341" w:rsidR="00967537" w:rsidRDefault="00967537" w:rsidP="007219A2">
      <w:pPr>
        <w:pStyle w:val="ListBullet2"/>
        <w:spacing w:line="240" w:lineRule="auto"/>
      </w:pPr>
      <w:r>
        <w:t>Springs and GDEs</w:t>
      </w:r>
      <w:r w:rsidR="00464E0C">
        <w:t>.</w:t>
      </w:r>
    </w:p>
    <w:p w14:paraId="42AEB8AF" w14:textId="4FFBCED3" w:rsidR="0050646D" w:rsidRPr="009C0B28" w:rsidRDefault="0050646D" w:rsidP="0050646D">
      <w:pPr>
        <w:pStyle w:val="ListBullet"/>
      </w:pPr>
      <w:r w:rsidRPr="0AE81A1E">
        <w:t xml:space="preserve">Conducting a risk screening process to identify </w:t>
      </w:r>
      <w:r w:rsidR="004621C2" w:rsidRPr="0AE81A1E">
        <w:t xml:space="preserve">the </w:t>
      </w:r>
      <w:r w:rsidR="006219F4" w:rsidRPr="0AE81A1E">
        <w:t>key</w:t>
      </w:r>
      <w:r w:rsidRPr="0AE81A1E">
        <w:t xml:space="preserve"> </w:t>
      </w:r>
      <w:r w:rsidR="00060483" w:rsidRPr="0AE81A1E">
        <w:t>issues</w:t>
      </w:r>
      <w:r w:rsidRPr="0AE81A1E">
        <w:t xml:space="preserve"> </w:t>
      </w:r>
      <w:r w:rsidR="004621C2" w:rsidRPr="0AE81A1E">
        <w:t xml:space="preserve">during construction, operation and decommissioning </w:t>
      </w:r>
      <w:r w:rsidRPr="0AE81A1E">
        <w:t xml:space="preserve">for investigation within the technical </w:t>
      </w:r>
      <w:r w:rsidR="002F7BFC">
        <w:t>report</w:t>
      </w:r>
      <w:r w:rsidR="00311665">
        <w:t>.</w:t>
      </w:r>
    </w:p>
    <w:p w14:paraId="547C5AF1" w14:textId="26F75AE7" w:rsidR="00521BCC" w:rsidRDefault="0043086D" w:rsidP="0061256A">
      <w:pPr>
        <w:pStyle w:val="ListBullet"/>
      </w:pPr>
      <w:r w:rsidRPr="0AE81A1E">
        <w:t xml:space="preserve">Identifying and assessing the potential </w:t>
      </w:r>
      <w:r w:rsidR="00333597" w:rsidRPr="0AE81A1E">
        <w:t>impact</w:t>
      </w:r>
      <w:r w:rsidR="000033B9" w:rsidRPr="0AE81A1E">
        <w:t xml:space="preserve"> to the </w:t>
      </w:r>
      <w:r w:rsidR="008F0E18" w:rsidRPr="0AE81A1E">
        <w:t xml:space="preserve">groundwater </w:t>
      </w:r>
      <w:r w:rsidR="000033B9" w:rsidRPr="0AE81A1E">
        <w:t>environmental value</w:t>
      </w:r>
      <w:r w:rsidR="008F0E18" w:rsidRPr="0AE81A1E">
        <w:t>s</w:t>
      </w:r>
      <w:r w:rsidR="000033B9" w:rsidRPr="0AE81A1E">
        <w:t xml:space="preserve">, namely </w:t>
      </w:r>
      <w:r w:rsidR="0061256A" w:rsidRPr="0AE81A1E">
        <w:t xml:space="preserve">groundwater levels, flow, recharge, quality, </w:t>
      </w:r>
      <w:r w:rsidR="000033B9" w:rsidRPr="0AE81A1E">
        <w:t xml:space="preserve">and availability to support receptors such as </w:t>
      </w:r>
      <w:r w:rsidR="005E130B" w:rsidRPr="0AE81A1E">
        <w:t>groundwater users (</w:t>
      </w:r>
      <w:r w:rsidR="000033B9" w:rsidRPr="0AE81A1E">
        <w:t>bores</w:t>
      </w:r>
      <w:r w:rsidR="005E130B" w:rsidRPr="0AE81A1E">
        <w:t>)</w:t>
      </w:r>
      <w:r w:rsidR="000033B9" w:rsidRPr="0AE81A1E">
        <w:t xml:space="preserve"> and </w:t>
      </w:r>
      <w:r w:rsidR="008A3B3C" w:rsidRPr="0AE81A1E">
        <w:t>GDEs</w:t>
      </w:r>
      <w:r w:rsidR="00393F89">
        <w:t xml:space="preserve"> during construction, operation and decommissioning. </w:t>
      </w:r>
      <w:r w:rsidR="00526950" w:rsidRPr="0AE81A1E">
        <w:t>These impacts were ev</w:t>
      </w:r>
      <w:r w:rsidR="00E96565" w:rsidRPr="0AE81A1E">
        <w:t>aluated</w:t>
      </w:r>
      <w:r w:rsidR="00526950" w:rsidRPr="0AE81A1E">
        <w:t xml:space="preserve"> according to the following</w:t>
      </w:r>
      <w:r w:rsidR="00763C8A" w:rsidRPr="0AE81A1E">
        <w:t xml:space="preserve"> ratings</w:t>
      </w:r>
      <w:r w:rsidR="005C3FCC" w:rsidRPr="0AE81A1E">
        <w:t>, in relation to the extent, magnitude and duration of the impacts</w:t>
      </w:r>
      <w:r w:rsidR="00526950" w:rsidRPr="0AE81A1E">
        <w:t>:</w:t>
      </w:r>
      <w:r w:rsidR="00430B69" w:rsidRPr="0AE81A1E">
        <w:t xml:space="preserve"> </w:t>
      </w:r>
    </w:p>
    <w:p w14:paraId="787ABDDC" w14:textId="32B2BC9E" w:rsidR="00430B69" w:rsidRPr="00430B69" w:rsidRDefault="00430B69" w:rsidP="007219A2">
      <w:pPr>
        <w:pStyle w:val="ListBullet2"/>
        <w:spacing w:after="120" w:line="240" w:lineRule="auto"/>
        <w:rPr>
          <w:lang w:eastAsia="en-AU"/>
        </w:rPr>
      </w:pPr>
      <w:r w:rsidRPr="008B2DAC">
        <w:rPr>
          <w:lang w:eastAsia="en-AU"/>
        </w:rPr>
        <w:t>Negligible</w:t>
      </w:r>
      <w:r w:rsidRPr="00430B69">
        <w:rPr>
          <w:lang w:eastAsia="en-AU"/>
        </w:rPr>
        <w:t xml:space="preserve">: No measurable change to groundwater level, </w:t>
      </w:r>
      <w:r w:rsidR="001E1AB8">
        <w:rPr>
          <w:lang w:eastAsia="en-AU"/>
        </w:rPr>
        <w:t xml:space="preserve">groundwater </w:t>
      </w:r>
      <w:r w:rsidRPr="00430B69">
        <w:rPr>
          <w:lang w:eastAsia="en-AU"/>
        </w:rPr>
        <w:t>quality, ecosystem function, or environmental value</w:t>
      </w:r>
      <w:r w:rsidR="00B34BD0">
        <w:rPr>
          <w:lang w:eastAsia="en-AU"/>
        </w:rPr>
        <w:t>.</w:t>
      </w:r>
    </w:p>
    <w:p w14:paraId="217E8A17" w14:textId="297AC29A" w:rsidR="0088413A" w:rsidRPr="00430B69" w:rsidRDefault="00430B69" w:rsidP="007219A2">
      <w:pPr>
        <w:pStyle w:val="ListBullet2"/>
        <w:spacing w:after="120" w:line="240" w:lineRule="auto"/>
        <w:rPr>
          <w:lang w:eastAsia="en-AU"/>
        </w:rPr>
      </w:pPr>
      <w:r w:rsidRPr="008B2DAC">
        <w:rPr>
          <w:lang w:eastAsia="en-AU"/>
        </w:rPr>
        <w:t>Minor</w:t>
      </w:r>
      <w:r w:rsidRPr="00430B69">
        <w:rPr>
          <w:lang w:eastAsia="en-AU"/>
        </w:rPr>
        <w:t xml:space="preserve">: Localized, short-term changes (less than one month) in groundwater level or </w:t>
      </w:r>
      <w:r w:rsidR="001E1AB8">
        <w:rPr>
          <w:lang w:eastAsia="en-AU"/>
        </w:rPr>
        <w:t xml:space="preserve">groundwater </w:t>
      </w:r>
      <w:r w:rsidRPr="00430B69">
        <w:rPr>
          <w:lang w:eastAsia="en-AU"/>
        </w:rPr>
        <w:t>quality with no lasting impact on ecosystem function or environmental value</w:t>
      </w:r>
      <w:r w:rsidR="00B34BD0">
        <w:rPr>
          <w:lang w:eastAsia="en-AU"/>
        </w:rPr>
        <w:t>.</w:t>
      </w:r>
    </w:p>
    <w:p w14:paraId="06371D7B" w14:textId="431B462B" w:rsidR="00430B69" w:rsidRDefault="00430B69" w:rsidP="007219A2">
      <w:pPr>
        <w:pStyle w:val="ListBullet2"/>
        <w:spacing w:after="120" w:line="240" w:lineRule="auto"/>
        <w:rPr>
          <w:lang w:eastAsia="en-AU"/>
        </w:rPr>
      </w:pPr>
      <w:r w:rsidRPr="008B2DAC">
        <w:rPr>
          <w:lang w:eastAsia="en-AU"/>
        </w:rPr>
        <w:t>Moderate</w:t>
      </w:r>
      <w:r w:rsidRPr="00430B69">
        <w:rPr>
          <w:lang w:eastAsia="en-AU"/>
        </w:rPr>
        <w:t xml:space="preserve">: Extended changes (up to six months) in </w:t>
      </w:r>
      <w:r w:rsidR="001E1AB8">
        <w:rPr>
          <w:lang w:eastAsia="en-AU"/>
        </w:rPr>
        <w:t>ground</w:t>
      </w:r>
      <w:r w:rsidRPr="00430B69">
        <w:rPr>
          <w:lang w:eastAsia="en-AU"/>
        </w:rPr>
        <w:t xml:space="preserve">water </w:t>
      </w:r>
      <w:r w:rsidR="001E1AB8">
        <w:rPr>
          <w:lang w:eastAsia="en-AU"/>
        </w:rPr>
        <w:t xml:space="preserve">level or groundwater </w:t>
      </w:r>
      <w:r w:rsidRPr="00430B69">
        <w:rPr>
          <w:lang w:eastAsia="en-AU"/>
        </w:rPr>
        <w:t>quality causing stress to ecosystems or groundwater users, but no change to environmental value</w:t>
      </w:r>
      <w:r w:rsidR="00B34BD0">
        <w:rPr>
          <w:lang w:eastAsia="en-AU"/>
        </w:rPr>
        <w:t>.</w:t>
      </w:r>
    </w:p>
    <w:p w14:paraId="04E76F06" w14:textId="26897C73" w:rsidR="0088413A" w:rsidRPr="00430B69" w:rsidRDefault="00430B69" w:rsidP="007219A2">
      <w:pPr>
        <w:pStyle w:val="ListBullet2"/>
        <w:spacing w:after="120" w:line="240" w:lineRule="auto"/>
        <w:rPr>
          <w:lang w:eastAsia="en-AU"/>
        </w:rPr>
      </w:pPr>
      <w:r w:rsidRPr="008B2DAC">
        <w:rPr>
          <w:lang w:eastAsia="en-AU"/>
        </w:rPr>
        <w:t>Major</w:t>
      </w:r>
      <w:r w:rsidRPr="00430B69">
        <w:rPr>
          <w:lang w:eastAsia="en-AU"/>
        </w:rPr>
        <w:t xml:space="preserve">: Long-term changes (up to one year) in </w:t>
      </w:r>
      <w:r w:rsidR="001E1AB8">
        <w:rPr>
          <w:lang w:eastAsia="en-AU"/>
        </w:rPr>
        <w:t>groundwater level or ground</w:t>
      </w:r>
      <w:r w:rsidRPr="00430B69">
        <w:rPr>
          <w:lang w:eastAsia="en-AU"/>
        </w:rPr>
        <w:t xml:space="preserve">water quality affecting ecosystems or groundwater users beyond the </w:t>
      </w:r>
      <w:r w:rsidR="001E1AB8">
        <w:rPr>
          <w:lang w:eastAsia="en-AU"/>
        </w:rPr>
        <w:t>P</w:t>
      </w:r>
      <w:r w:rsidRPr="00430B69">
        <w:rPr>
          <w:lang w:eastAsia="en-AU"/>
        </w:rPr>
        <w:t xml:space="preserve">roject </w:t>
      </w:r>
      <w:r w:rsidR="001E1AB8">
        <w:rPr>
          <w:lang w:eastAsia="en-AU"/>
        </w:rPr>
        <w:t>A</w:t>
      </w:r>
      <w:r w:rsidRPr="00430B69">
        <w:rPr>
          <w:lang w:eastAsia="en-AU"/>
        </w:rPr>
        <w:t>rea, with impacts on environmental value</w:t>
      </w:r>
      <w:r w:rsidR="00B34BD0">
        <w:rPr>
          <w:lang w:eastAsia="en-AU"/>
        </w:rPr>
        <w:t>.</w:t>
      </w:r>
    </w:p>
    <w:p w14:paraId="4E491A02" w14:textId="73FC1C2C" w:rsidR="00350F63" w:rsidRDefault="00430B69" w:rsidP="007219A2">
      <w:pPr>
        <w:pStyle w:val="ListBullet2"/>
        <w:spacing w:line="240" w:lineRule="auto"/>
        <w:rPr>
          <w:lang w:eastAsia="en-AU"/>
        </w:rPr>
      </w:pPr>
      <w:r w:rsidRPr="008B2DAC">
        <w:rPr>
          <w:lang w:eastAsia="en-AU"/>
        </w:rPr>
        <w:t>Severe</w:t>
      </w:r>
      <w:r w:rsidRPr="00430B69">
        <w:rPr>
          <w:lang w:eastAsia="en-AU"/>
        </w:rPr>
        <w:t xml:space="preserve">: Irreversible, long-term harm to ecosystems or permanent changes in </w:t>
      </w:r>
      <w:r w:rsidR="001E1AB8">
        <w:rPr>
          <w:lang w:eastAsia="en-AU"/>
        </w:rPr>
        <w:t xml:space="preserve">groundwater quality or </w:t>
      </w:r>
      <w:r w:rsidRPr="00430B69">
        <w:rPr>
          <w:lang w:eastAsia="en-AU"/>
        </w:rPr>
        <w:t>groundwater levels, causing regional impacts and loss of environmental value.</w:t>
      </w:r>
    </w:p>
    <w:p w14:paraId="11F2E781" w14:textId="5399D045" w:rsidR="00C7125F" w:rsidRDefault="00C7125F" w:rsidP="004F2D2B">
      <w:pPr>
        <w:ind w:left="284"/>
      </w:pPr>
      <w:r w:rsidRPr="0AE81A1E">
        <w:t xml:space="preserve">Impact ratings considered </w:t>
      </w:r>
      <w:r w:rsidR="005250C0" w:rsidRPr="0AE81A1E">
        <w:t xml:space="preserve">the direct interaction or potential for interaction of the Project with groundwater, </w:t>
      </w:r>
      <w:r w:rsidRPr="0AE81A1E">
        <w:t xml:space="preserve">the conditions and sensitivity </w:t>
      </w:r>
      <w:r w:rsidR="005250C0" w:rsidRPr="0AE81A1E">
        <w:t>of environmental values</w:t>
      </w:r>
      <w:r w:rsidRPr="0AE81A1E">
        <w:t xml:space="preserve">, and the magnitude, duration and extent of Project impacts on identified values. The full definition of each rating is provided in Section 5.5 of </w:t>
      </w:r>
      <w:r w:rsidRPr="0AE81A1E">
        <w:rPr>
          <w:b/>
          <w:bCs/>
        </w:rPr>
        <w:t>Technical Repo</w:t>
      </w:r>
      <w:r w:rsidR="00CA41B8" w:rsidRPr="0AE81A1E">
        <w:rPr>
          <w:b/>
          <w:bCs/>
        </w:rPr>
        <w:t>r</w:t>
      </w:r>
      <w:r w:rsidRPr="0AE81A1E">
        <w:rPr>
          <w:b/>
          <w:bCs/>
        </w:rPr>
        <w:t>t S: Groundwater Impact Assessment</w:t>
      </w:r>
      <w:r w:rsidR="00DF0990" w:rsidRPr="0AE81A1E">
        <w:rPr>
          <w:b/>
          <w:bCs/>
        </w:rPr>
        <w:t>.</w:t>
      </w:r>
      <w:r w:rsidRPr="0AE81A1E">
        <w:t xml:space="preserve"> </w:t>
      </w:r>
    </w:p>
    <w:p w14:paraId="7285A11A" w14:textId="5C8A92F2" w:rsidR="00F33616" w:rsidRDefault="00F33616" w:rsidP="00F33616">
      <w:pPr>
        <w:pStyle w:val="ListBullet"/>
      </w:pPr>
      <w:r w:rsidRPr="0AE81A1E">
        <w:t>Identifying</w:t>
      </w:r>
      <w:r w:rsidR="00DC1F91" w:rsidRPr="0AE81A1E">
        <w:t xml:space="preserve"> relevant </w:t>
      </w:r>
      <w:r w:rsidR="00B8216E">
        <w:t xml:space="preserve">future </w:t>
      </w:r>
      <w:r w:rsidR="00DC1F91" w:rsidRPr="0AE81A1E">
        <w:t>projects</w:t>
      </w:r>
      <w:r w:rsidRPr="0AE81A1E">
        <w:t xml:space="preserve"> that could lead to cumulative impacts when considered together with the Project (refer to </w:t>
      </w:r>
      <w:r w:rsidRPr="0AE81A1E">
        <w:rPr>
          <w:b/>
          <w:bCs/>
        </w:rPr>
        <w:t>Chapter 4</w:t>
      </w:r>
      <w:r w:rsidR="001E1AB8" w:rsidRPr="0AE81A1E">
        <w:rPr>
          <w:b/>
          <w:bCs/>
        </w:rPr>
        <w:t>:</w:t>
      </w:r>
      <w:r w:rsidRPr="0AE81A1E">
        <w:rPr>
          <w:b/>
          <w:bCs/>
        </w:rPr>
        <w:t xml:space="preserve"> EES assessment framework and approach</w:t>
      </w:r>
      <w:r w:rsidRPr="0AE81A1E">
        <w:t xml:space="preserve"> for the full cumulative impact assessment method)</w:t>
      </w:r>
      <w:r w:rsidR="00953B56">
        <w:t>.</w:t>
      </w:r>
    </w:p>
    <w:p w14:paraId="27CD84EE" w14:textId="69B17602" w:rsidR="00820094" w:rsidRPr="00820094" w:rsidRDefault="00820094" w:rsidP="00E86AD0">
      <w:pPr>
        <w:pStyle w:val="ListBullet"/>
      </w:pPr>
      <w:r w:rsidRPr="0AE81A1E">
        <w:t>Developing EPRs in response to the impact assessment to define the required environmental outcomes that the Project must achieve through the implementation of mitigation measures during construction, operation and decommissioning. Measures to reduce the potential impacts were proposed in accordance with the mitigation hierarchy (avoid, minimise, manage, rehabilitate and offset) and have informed the development of EPRs. Alternative mitigation measures could be implemented to comply with the EPRs based on the specific site conditions, available resources, and the Principal Contractor’s expertise.</w:t>
      </w:r>
    </w:p>
    <w:p w14:paraId="65FA844E" w14:textId="58091E7D" w:rsidR="00B00B3A" w:rsidRDefault="0043074B" w:rsidP="00E86AD0">
      <w:pPr>
        <w:pStyle w:val="ListBullet"/>
      </w:pPr>
      <w:r>
        <w:t>Following application of mitigation measures that would comply with the EPRs, d</w:t>
      </w:r>
      <w:r w:rsidR="0050646D" w:rsidRPr="0AE81A1E">
        <w:t>etermining residual impacts associated with the construction, operation and decommissioning of the Project</w:t>
      </w:r>
      <w:r w:rsidR="00FB4991" w:rsidRPr="0AE81A1E">
        <w:t>, and evaluating their significance</w:t>
      </w:r>
      <w:r w:rsidR="0050646D" w:rsidRPr="0AE81A1E">
        <w:t>.</w:t>
      </w:r>
    </w:p>
    <w:p w14:paraId="24E94C07" w14:textId="77777777" w:rsidR="00846F8F" w:rsidRDefault="00846F8F" w:rsidP="00846F8F">
      <w:pPr>
        <w:pStyle w:val="ListBullet"/>
        <w:numPr>
          <w:ilvl w:val="0"/>
          <w:numId w:val="0"/>
        </w:numPr>
        <w:sectPr w:rsidR="00846F8F" w:rsidSect="000325A5">
          <w:type w:val="continuous"/>
          <w:pgSz w:w="11906" w:h="16838" w:code="9"/>
          <w:pgMar w:top="1418" w:right="1418" w:bottom="1418" w:left="1418" w:header="1134" w:footer="340" w:gutter="0"/>
          <w:pgNumType w:chapStyle="1"/>
          <w:cols w:space="708"/>
          <w:docGrid w:linePitch="360"/>
        </w:sectPr>
      </w:pPr>
    </w:p>
    <w:p w14:paraId="1A9E9660" w14:textId="71A9A403" w:rsidR="00846F8F" w:rsidRDefault="00586170" w:rsidP="00431575">
      <w:pPr>
        <w:pStyle w:val="NormalWeb"/>
      </w:pPr>
      <w:r>
        <w:rPr>
          <w:noProof/>
        </w:rPr>
        <w:lastRenderedPageBreak/>
        <mc:AlternateContent>
          <mc:Choice Requires="wps">
            <w:drawing>
              <wp:anchor distT="0" distB="0" distL="114300" distR="114300" simplePos="0" relativeHeight="251658242" behindDoc="0" locked="0" layoutInCell="1" allowOverlap="1" wp14:anchorId="093EDE9A" wp14:editId="015D05C9">
                <wp:simplePos x="0" y="0"/>
                <wp:positionH relativeFrom="page">
                  <wp:posOffset>7879221</wp:posOffset>
                </wp:positionH>
                <wp:positionV relativeFrom="page">
                  <wp:posOffset>406400</wp:posOffset>
                </wp:positionV>
                <wp:extent cx="1964267" cy="276860"/>
                <wp:effectExtent l="0" t="0" r="0" b="7620"/>
                <wp:wrapNone/>
                <wp:docPr id="145945311" name="Text Box 1"/>
                <wp:cNvGraphicFramePr/>
                <a:graphic xmlns:a="http://schemas.openxmlformats.org/drawingml/2006/main">
                  <a:graphicData uri="http://schemas.microsoft.com/office/word/2010/wordprocessingShape">
                    <wps:wsp>
                      <wps:cNvSpPr txBox="1"/>
                      <wps:spPr>
                        <a:xfrm>
                          <a:off x="0" y="0"/>
                          <a:ext cx="1964267" cy="276860"/>
                        </a:xfrm>
                        <a:prstGeom prst="rect">
                          <a:avLst/>
                        </a:prstGeom>
                        <a:solidFill>
                          <a:prstClr val="white"/>
                        </a:solidFill>
                        <a:ln>
                          <a:noFill/>
                        </a:ln>
                      </wps:spPr>
                      <wps:txbx>
                        <w:txbxContent>
                          <w:p w14:paraId="6F7D5BC1" w14:textId="16CF96C6" w:rsidR="00FF68CE" w:rsidRPr="00831583" w:rsidRDefault="00FF68CE" w:rsidP="00831583">
                            <w:pPr>
                              <w:pStyle w:val="Caption"/>
                              <w:spacing w:before="0"/>
                            </w:pPr>
                            <w:bookmarkStart w:id="6" w:name="_Ref180148827"/>
                            <w:r w:rsidRPr="003816C4">
                              <w:t xml:space="preserve">Figure </w:t>
                            </w:r>
                            <w:r w:rsidR="00D30FD9" w:rsidRPr="003816C4">
                              <w:fldChar w:fldCharType="begin"/>
                            </w:r>
                            <w:r w:rsidR="00D30FD9" w:rsidRPr="003816C4">
                              <w:instrText>STYLEREF 1 \s</w:instrText>
                            </w:r>
                            <w:r w:rsidR="00D30FD9" w:rsidRPr="003816C4">
                              <w:fldChar w:fldCharType="separate"/>
                            </w:r>
                            <w:r w:rsidR="00D83237" w:rsidRPr="00831583">
                              <w:t>24</w:t>
                            </w:r>
                            <w:r w:rsidR="00D30FD9" w:rsidRPr="003816C4">
                              <w:fldChar w:fldCharType="end"/>
                            </w:r>
                            <w:r w:rsidR="00BD3768" w:rsidRPr="003816C4">
                              <w:t>.</w:t>
                            </w:r>
                            <w:r w:rsidR="00D30FD9" w:rsidRPr="003816C4">
                              <w:fldChar w:fldCharType="begin"/>
                            </w:r>
                            <w:r w:rsidR="00D30FD9" w:rsidRPr="003816C4">
                              <w:instrText>SEQ Figure \* ARABIC \s 1</w:instrText>
                            </w:r>
                            <w:r w:rsidR="00D30FD9" w:rsidRPr="003816C4">
                              <w:fldChar w:fldCharType="separate"/>
                            </w:r>
                            <w:r w:rsidR="00D83237" w:rsidRPr="00831583">
                              <w:t>1</w:t>
                            </w:r>
                            <w:r w:rsidR="00D30FD9" w:rsidRPr="003816C4">
                              <w:fldChar w:fldCharType="end"/>
                            </w:r>
                            <w:bookmarkEnd w:id="6"/>
                            <w:r w:rsidRPr="003816C4">
                              <w:t xml:space="preserve"> Groundwater study area</w:t>
                            </w:r>
                            <w:r w:rsidR="00A87BE0" w:rsidRPr="003816C4">
                              <w:t xml:space="preserve"> </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93EDE9A" id="_x0000_t202" coordsize="21600,21600" o:spt="202" path="m,l,21600r21600,l21600,xe">
                <v:stroke joinstyle="miter"/>
                <v:path gradientshapeok="t" o:connecttype="rect"/>
              </v:shapetype>
              <v:shape id="Text Box 1" o:spid="_x0000_s1026" type="#_x0000_t202" style="position:absolute;margin-left:620.4pt;margin-top:32pt;width:154.65pt;height:2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" stroked="f">
                <v:textbox style="mso-fit-shape-to-text:t" inset="2.5mm,2mm,2.5mm,2mm">
                  <w:txbxContent>
                    <w:p w14:paraId="6F7D5BC1" w14:textId="16CF96C6" w:rsidR="00FF68CE" w:rsidRPr="00831583" w:rsidRDefault="00FF68CE" w:rsidP="00831583">
                      <w:pPr>
                        <w:pStyle w:val="Caption"/>
                        <w:spacing w:before="0"/>
                      </w:pPr>
                      <w:bookmarkStart w:id="7" w:name="_Ref180148827"/>
                      <w:r w:rsidRPr="003816C4">
                        <w:t xml:space="preserve">Figure </w:t>
                      </w:r>
                      <w:r w:rsidR="00D30FD9" w:rsidRPr="003816C4">
                        <w:fldChar w:fldCharType="begin"/>
                      </w:r>
                      <w:r w:rsidR="00D30FD9" w:rsidRPr="003816C4">
                        <w:instrText>STYLEREF 1 \s</w:instrText>
                      </w:r>
                      <w:r w:rsidR="00D30FD9" w:rsidRPr="003816C4">
                        <w:fldChar w:fldCharType="separate"/>
                      </w:r>
                      <w:r w:rsidR="00D83237" w:rsidRPr="00831583">
                        <w:t>24</w:t>
                      </w:r>
                      <w:r w:rsidR="00D30FD9" w:rsidRPr="003816C4">
                        <w:fldChar w:fldCharType="end"/>
                      </w:r>
                      <w:r w:rsidR="00BD3768" w:rsidRPr="003816C4">
                        <w:t>.</w:t>
                      </w:r>
                      <w:r w:rsidR="00D30FD9" w:rsidRPr="003816C4">
                        <w:fldChar w:fldCharType="begin"/>
                      </w:r>
                      <w:r w:rsidR="00D30FD9" w:rsidRPr="003816C4">
                        <w:instrText>SEQ Figure \* ARABIC \s 1</w:instrText>
                      </w:r>
                      <w:r w:rsidR="00D30FD9" w:rsidRPr="003816C4">
                        <w:fldChar w:fldCharType="separate"/>
                      </w:r>
                      <w:r w:rsidR="00D83237" w:rsidRPr="00831583">
                        <w:t>1</w:t>
                      </w:r>
                      <w:r w:rsidR="00D30FD9" w:rsidRPr="003816C4">
                        <w:fldChar w:fldCharType="end"/>
                      </w:r>
                      <w:bookmarkEnd w:id="7"/>
                      <w:r w:rsidRPr="003816C4">
                        <w:t xml:space="preserve"> Groundwater study area</w:t>
                      </w:r>
                      <w:r w:rsidR="00A87BE0" w:rsidRPr="003816C4">
                        <w:t xml:space="preserve"> </w:t>
                      </w:r>
                    </w:p>
                  </w:txbxContent>
                </v:textbox>
                <w10:wrap anchorx="page" anchory="page"/>
              </v:shape>
            </w:pict>
          </mc:Fallback>
        </mc:AlternateContent>
      </w:r>
      <w:r w:rsidR="000325A5">
        <w:rPr>
          <w:noProof/>
        </w:rPr>
        <w:drawing>
          <wp:anchor distT="0" distB="0" distL="114300" distR="114300" simplePos="0" relativeHeight="251658241" behindDoc="0" locked="0" layoutInCell="1" allowOverlap="1" wp14:anchorId="4954EF5E" wp14:editId="7442A196">
            <wp:simplePos x="0" y="0"/>
            <wp:positionH relativeFrom="margin">
              <wp:posOffset>-386080</wp:posOffset>
            </wp:positionH>
            <wp:positionV relativeFrom="page">
              <wp:posOffset>352425</wp:posOffset>
            </wp:positionV>
            <wp:extent cx="9401175" cy="6644640"/>
            <wp:effectExtent l="0" t="0" r="9525" b="3810"/>
            <wp:wrapSquare wrapText="bothSides"/>
            <wp:docPr id="156070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02316"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401175" cy="664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1C967" w14:textId="77777777" w:rsidR="00846F8F" w:rsidRDefault="00846F8F" w:rsidP="00D10D9C">
      <w:pPr>
        <w:sectPr w:rsidR="00846F8F" w:rsidSect="000325A5">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1418" w:right="1418" w:bottom="1418" w:left="1418" w:header="1134" w:footer="340" w:gutter="0"/>
          <w:pgNumType w:chapStyle="1"/>
          <w:cols w:space="708"/>
          <w:docGrid w:linePitch="360"/>
        </w:sectPr>
      </w:pPr>
    </w:p>
    <w:p w14:paraId="46E36634" w14:textId="3D629AD4" w:rsidR="00B008C5" w:rsidRDefault="00B008C5" w:rsidP="00FE4FB0">
      <w:pPr>
        <w:pStyle w:val="Heading2"/>
      </w:pPr>
      <w:bookmarkStart w:id="8" w:name="_Toc201047256"/>
      <w:r>
        <w:lastRenderedPageBreak/>
        <w:t>Existing conditions</w:t>
      </w:r>
      <w:bookmarkEnd w:id="8"/>
    </w:p>
    <w:p w14:paraId="2CF88333" w14:textId="310F4713" w:rsidR="00304336" w:rsidRDefault="00304336" w:rsidP="00304336">
      <w:pPr>
        <w:rPr>
          <w:color w:val="FF0000"/>
        </w:rPr>
      </w:pPr>
      <w:r>
        <w:t xml:space="preserve">This section summarises the existing conditions for </w:t>
      </w:r>
      <w:r w:rsidRPr="00245993">
        <w:t xml:space="preserve">groundwater </w:t>
      </w:r>
      <w:r>
        <w:t>according to the following key themes</w:t>
      </w:r>
      <w:r w:rsidR="00510C7E">
        <w:t>:</w:t>
      </w:r>
    </w:p>
    <w:p w14:paraId="54CE113F" w14:textId="37658E4D" w:rsidR="00304336" w:rsidRDefault="00304336" w:rsidP="00304336">
      <w:pPr>
        <w:pStyle w:val="ListBullet"/>
      </w:pPr>
      <w:r>
        <w:t>Geological and hydrogeological setting</w:t>
      </w:r>
    </w:p>
    <w:p w14:paraId="00786FF0" w14:textId="4E11026E" w:rsidR="00304336" w:rsidRPr="003660CE" w:rsidRDefault="00304336" w:rsidP="00304336">
      <w:pPr>
        <w:pStyle w:val="ListBullet"/>
      </w:pPr>
      <w:r>
        <w:t xml:space="preserve">Groundwater levels, flow </w:t>
      </w:r>
      <w:r w:rsidR="000033B9">
        <w:t xml:space="preserve">direction </w:t>
      </w:r>
      <w:r>
        <w:t>and recharge</w:t>
      </w:r>
      <w:r w:rsidR="000033B9">
        <w:t xml:space="preserve"> processes</w:t>
      </w:r>
    </w:p>
    <w:p w14:paraId="276AF9B2" w14:textId="2568D29D" w:rsidR="00304336" w:rsidRPr="003660CE" w:rsidRDefault="00304336" w:rsidP="00304336">
      <w:pPr>
        <w:pStyle w:val="ListBullet"/>
      </w:pPr>
      <w:r>
        <w:t>Groundwater quality</w:t>
      </w:r>
    </w:p>
    <w:p w14:paraId="4DF9DB49" w14:textId="53E452AF" w:rsidR="00304336" w:rsidRDefault="00304336" w:rsidP="00304336">
      <w:pPr>
        <w:pStyle w:val="ListBullet"/>
      </w:pPr>
      <w:r w:rsidRPr="0AE81A1E">
        <w:t xml:space="preserve">Groundwater </w:t>
      </w:r>
      <w:r w:rsidR="000033B9" w:rsidRPr="0AE81A1E">
        <w:t>receptors</w:t>
      </w:r>
      <w:r w:rsidR="00EF7582" w:rsidRPr="0AE81A1E">
        <w:t>,</w:t>
      </w:r>
      <w:r w:rsidR="000033B9" w:rsidRPr="0AE81A1E">
        <w:t xml:space="preserve"> consumptive </w:t>
      </w:r>
      <w:r w:rsidRPr="0AE81A1E">
        <w:t xml:space="preserve">use and </w:t>
      </w:r>
      <w:r w:rsidR="008A3B3C" w:rsidRPr="0AE81A1E">
        <w:t>GDEs</w:t>
      </w:r>
      <w:r w:rsidR="00DC1F91" w:rsidRPr="0AE81A1E">
        <w:t>.</w:t>
      </w:r>
    </w:p>
    <w:p w14:paraId="49DD490A" w14:textId="6A8A5BD1" w:rsidR="00510C7E" w:rsidRDefault="00510C7E" w:rsidP="00510C7E">
      <w:r w:rsidRPr="0AE81A1E">
        <w:t xml:space="preserve">Groundwater environmental values are dependent upon the level, flow, and quality of groundwater. Changes to these characteristics have the potential to limit the availability of accessible water to </w:t>
      </w:r>
      <w:r w:rsidR="008A3B3C" w:rsidRPr="0AE81A1E">
        <w:t>GDEs</w:t>
      </w:r>
      <w:r w:rsidRPr="0AE81A1E">
        <w:t xml:space="preserve"> and bores. Environmental values identified in different geographic locations </w:t>
      </w:r>
      <w:r w:rsidR="00CA41B8" w:rsidRPr="0AE81A1E">
        <w:t xml:space="preserve">in the study area </w:t>
      </w:r>
      <w:r w:rsidRPr="0AE81A1E">
        <w:t>include:</w:t>
      </w:r>
    </w:p>
    <w:p w14:paraId="4947DD33" w14:textId="5F91BD90" w:rsidR="00510C7E" w:rsidRDefault="008A3B3C" w:rsidP="00510C7E">
      <w:pPr>
        <w:pStyle w:val="ListBullet"/>
      </w:pPr>
      <w:r>
        <w:t>GDEs</w:t>
      </w:r>
      <w:r w:rsidR="00510C7E">
        <w:t xml:space="preserve"> and species</w:t>
      </w:r>
      <w:r w:rsidR="00450EC6">
        <w:t xml:space="preserve">: </w:t>
      </w:r>
      <w:r w:rsidR="000B6183">
        <w:t>ground</w:t>
      </w:r>
      <w:r w:rsidR="00BA4D81">
        <w:t>water quality that is suitable to protect the integrity and biodiversity of GDEs</w:t>
      </w:r>
    </w:p>
    <w:p w14:paraId="64FDBBD3" w14:textId="0AC22E86" w:rsidR="00510C7E" w:rsidRDefault="00510C7E" w:rsidP="00510C7E">
      <w:pPr>
        <w:pStyle w:val="ListBullet"/>
      </w:pPr>
      <w:r>
        <w:t>Potable water supply</w:t>
      </w:r>
      <w:r w:rsidR="00BA4D81">
        <w:t>: groundwater quality that is suitable for raw or potable water supply</w:t>
      </w:r>
    </w:p>
    <w:p w14:paraId="751B86BC" w14:textId="24502E65" w:rsidR="00510C7E" w:rsidRDefault="00510C7E" w:rsidP="00510C7E">
      <w:pPr>
        <w:pStyle w:val="ListBullet"/>
      </w:pPr>
      <w:r w:rsidRPr="0AE81A1E">
        <w:t>Potable mineral water supply</w:t>
      </w:r>
      <w:r w:rsidR="00BA4D81" w:rsidRPr="0AE81A1E">
        <w:t>: groundwater quality that is suitable for drinking and, in its natural state, contains soluble minerals and natural gases causing effervescence</w:t>
      </w:r>
    </w:p>
    <w:p w14:paraId="3C0CC884" w14:textId="5E3BC8CD" w:rsidR="00510C7E" w:rsidRDefault="00510C7E" w:rsidP="00510C7E">
      <w:pPr>
        <w:pStyle w:val="ListBullet"/>
      </w:pPr>
      <w:r>
        <w:t>Agriculture and irrigation</w:t>
      </w:r>
      <w:r w:rsidR="00BA4D81">
        <w:t xml:space="preserve">: </w:t>
      </w:r>
      <w:r w:rsidR="000B6183">
        <w:t>ground</w:t>
      </w:r>
      <w:r w:rsidR="00BA4D81">
        <w:t xml:space="preserve">water quality that is suitable for agricultural activities such as stock watering </w:t>
      </w:r>
      <w:r w:rsidR="00242797">
        <w:t xml:space="preserve">(water for consumption by livestock) </w:t>
      </w:r>
      <w:r w:rsidR="00BA4D81">
        <w:t>and irrigation</w:t>
      </w:r>
      <w:r w:rsidR="00242797">
        <w:t xml:space="preserve"> (water applied to land for the purpose of agricultural production)</w:t>
      </w:r>
    </w:p>
    <w:p w14:paraId="51755149" w14:textId="78E65D34" w:rsidR="00510C7E" w:rsidRDefault="00510C7E" w:rsidP="00510C7E">
      <w:pPr>
        <w:pStyle w:val="ListBullet"/>
      </w:pPr>
      <w:r w:rsidRPr="0AE81A1E">
        <w:t xml:space="preserve">Industrial and commercial water </w:t>
      </w:r>
      <w:r w:rsidR="001653C3" w:rsidRPr="0AE81A1E">
        <w:t>uses</w:t>
      </w:r>
      <w:r w:rsidR="00372A13" w:rsidRPr="0AE81A1E">
        <w:t>:</w:t>
      </w:r>
      <w:r w:rsidR="00BA4D81" w:rsidRPr="0AE81A1E">
        <w:t xml:space="preserve"> </w:t>
      </w:r>
      <w:r w:rsidR="000B6183" w:rsidRPr="0AE81A1E">
        <w:t>ground</w:t>
      </w:r>
      <w:r w:rsidR="00BA4D81" w:rsidRPr="0AE81A1E">
        <w:t>water quality that is suitable for industrial and commercial use</w:t>
      </w:r>
    </w:p>
    <w:p w14:paraId="146CA368" w14:textId="4019A670" w:rsidR="005E130B" w:rsidRDefault="005E130B" w:rsidP="00510C7E">
      <w:pPr>
        <w:pStyle w:val="ListBullet"/>
      </w:pPr>
      <w:r>
        <w:t>Water based recreation</w:t>
      </w:r>
      <w:r w:rsidR="00411785">
        <w:t xml:space="preserve"> (primary contact)</w:t>
      </w:r>
      <w:r w:rsidR="00BA4D81">
        <w:t xml:space="preserve">: </w:t>
      </w:r>
      <w:r w:rsidR="000B6183">
        <w:t>ground</w:t>
      </w:r>
      <w:r w:rsidR="00BA4D81">
        <w:t>water quality that is suitable for primary contact recreation, which means an activity in which the whole human body or face and trunk are frequently immersed, or the face is frequently wet by spray, and where it is likely that some water will be swallowed or inhaled, or come into contact with the body (for example, swimming, diving, water skiing, caving and spas)</w:t>
      </w:r>
    </w:p>
    <w:p w14:paraId="479A25FC" w14:textId="1D37AB5F" w:rsidR="000A6E7B" w:rsidRDefault="000A6E7B" w:rsidP="000A6E7B">
      <w:pPr>
        <w:pStyle w:val="ListBullet"/>
      </w:pPr>
      <w:r>
        <w:t>Traditional Owner cultural values:</w:t>
      </w:r>
      <w:r w:rsidR="00A90943" w:rsidRPr="00A90943">
        <w:t xml:space="preserve"> groundwater quality that supports ecosystems that are important for the cultural and physical well-being of Traditional Owners (e.g., the health of plants, animals, and other natural resources that are used in traditional practices)</w:t>
      </w:r>
      <w:r>
        <w:t>.</w:t>
      </w:r>
    </w:p>
    <w:p w14:paraId="2D5D1221" w14:textId="1E4565A6" w:rsidR="003D49CB" w:rsidRDefault="003D49CB" w:rsidP="008A3B3C">
      <w:r w:rsidRPr="0AE81A1E">
        <w:t xml:space="preserve">Groundwater conditions </w:t>
      </w:r>
      <w:r w:rsidR="00DC1F91" w:rsidRPr="0AE81A1E">
        <w:t>were</w:t>
      </w:r>
      <w:r w:rsidRPr="0AE81A1E">
        <w:t xml:space="preserve"> investigated across three main areas</w:t>
      </w:r>
      <w:r w:rsidR="00DC1F91" w:rsidRPr="0AE81A1E">
        <w:t>,</w:t>
      </w:r>
      <w:r w:rsidRPr="0AE81A1E">
        <w:t xml:space="preserve"> as presented in</w:t>
      </w:r>
      <w:r w:rsidR="008A3B3C" w:rsidRPr="0AE81A1E">
        <w:t xml:space="preserve"> </w:t>
      </w:r>
      <w:r w:rsidR="00217350">
        <w:rPr>
          <w:szCs w:val="18"/>
        </w:rPr>
        <w:fldChar w:fldCharType="begin"/>
      </w:r>
      <w:r w:rsidR="00217350">
        <w:rPr>
          <w:szCs w:val="18"/>
        </w:rPr>
        <w:instrText xml:space="preserve"> REF _Ref180148827 \h </w:instrText>
      </w:r>
      <w:r w:rsidR="00217350">
        <w:rPr>
          <w:szCs w:val="18"/>
        </w:rPr>
      </w:r>
      <w:r w:rsidR="00217350">
        <w:rPr>
          <w:szCs w:val="18"/>
        </w:rPr>
        <w:fldChar w:fldCharType="separate"/>
      </w:r>
      <w:r w:rsidR="00B42FF4" w:rsidRPr="003816C4">
        <w:t xml:space="preserve">Figure </w:t>
      </w:r>
      <w:r w:rsidR="00B42FF4" w:rsidRPr="00831583">
        <w:t>24</w:t>
      </w:r>
      <w:r w:rsidR="00B42FF4" w:rsidRPr="003816C4">
        <w:t>.</w:t>
      </w:r>
      <w:r w:rsidR="00B42FF4" w:rsidRPr="00831583">
        <w:t>1</w:t>
      </w:r>
      <w:r w:rsidR="00217350">
        <w:rPr>
          <w:szCs w:val="18"/>
        </w:rPr>
        <w:fldChar w:fldCharType="end"/>
      </w:r>
      <w:r w:rsidR="00087DA6" w:rsidRPr="0AE81A1E">
        <w:t>.</w:t>
      </w:r>
      <w:r w:rsidR="007048BD" w:rsidRPr="0AE81A1E">
        <w:t xml:space="preserve"> Across all three areas, there is a </w:t>
      </w:r>
      <w:r w:rsidR="00DC1F91" w:rsidRPr="0AE81A1E">
        <w:t>high-</w:t>
      </w:r>
      <w:r w:rsidR="007048BD" w:rsidRPr="0AE81A1E">
        <w:t>degree of groundwater-surface water interaction and most major rivers, creeks, wetlands and riparian vegetation have a high or moderate potential for groundwater dependence.</w:t>
      </w:r>
    </w:p>
    <w:p w14:paraId="5FDA5831" w14:textId="77777777" w:rsidR="00AA379A" w:rsidRDefault="00AA379A" w:rsidP="00C37891">
      <w:pPr>
        <w:pStyle w:val="Call-outboxHeadingwithicon"/>
        <w:framePr w:w="2658" w:h="4494" w:hRule="exact" w:hSpace="170" w:vSpace="170" w:wrap="around" w:hAnchor="page" w:x="7733" w:y="6"/>
      </w:pPr>
      <w:bookmarkStart w:id="9" w:name="_Ref181101903"/>
      <w:r>
        <w:lastRenderedPageBreak/>
        <w:t xml:space="preserve"> Aquifer types</w:t>
      </w:r>
    </w:p>
    <w:p w14:paraId="56764177" w14:textId="77777777" w:rsidR="00AA379A" w:rsidRDefault="00AA379A" w:rsidP="00C37891">
      <w:pPr>
        <w:pStyle w:val="Call-outbox0"/>
        <w:framePr w:w="2658" w:h="4494" w:hRule="exact" w:hSpace="170" w:vSpace="170" w:wrap="around" w:hAnchor="page" w:x="7733" w:y="6"/>
      </w:pPr>
      <w:r w:rsidRPr="0AE81A1E">
        <w:t xml:space="preserve">Aquifer types refer to the various kinds of underground layers that store and transmit groundwater. </w:t>
      </w:r>
    </w:p>
    <w:p w14:paraId="11BA6121" w14:textId="2222E37F" w:rsidR="00AA379A" w:rsidRDefault="00AA379A" w:rsidP="00C37891">
      <w:pPr>
        <w:pStyle w:val="Call-outbox0"/>
        <w:framePr w:w="2658" w:h="4494" w:hRule="exact" w:hSpace="170" w:vSpace="170" w:wrap="around" w:hAnchor="page" w:x="7733" w:y="6"/>
      </w:pPr>
      <w:r w:rsidRPr="00DA568F">
        <w:t xml:space="preserve">Different aquifer types have unique characteristics, such as depth to the watertable, </w:t>
      </w:r>
      <w:r>
        <w:t>availability of groundwater for extraction</w:t>
      </w:r>
      <w:r w:rsidRPr="00DA568F">
        <w:t>, and connection to surface water.</w:t>
      </w:r>
    </w:p>
    <w:p w14:paraId="1200A210" w14:textId="2BD93FF4" w:rsidR="00304336" w:rsidRDefault="00304336" w:rsidP="00F433D9">
      <w:pPr>
        <w:pStyle w:val="Heading3"/>
      </w:pPr>
      <w:bookmarkStart w:id="10" w:name="_Ref186988566"/>
      <w:bookmarkStart w:id="11" w:name="_Toc201047257"/>
      <w:r>
        <w:t>Geological and hydrogeological setting</w:t>
      </w:r>
      <w:bookmarkEnd w:id="9"/>
      <w:bookmarkEnd w:id="10"/>
      <w:bookmarkEnd w:id="11"/>
    </w:p>
    <w:p w14:paraId="02B7058D" w14:textId="77777777" w:rsidR="002933E7" w:rsidRDefault="00653FA8" w:rsidP="00653FA8">
      <w:r>
        <w:t xml:space="preserve">The geological setting for groundwater refers to the types of rocks and sediments present in an area, their arrangement, and their physical properties. This includes factors like the rock’s porosity and permeability, which influence how water can move through them. </w:t>
      </w:r>
    </w:p>
    <w:p w14:paraId="79133AC8" w14:textId="4F239D21" w:rsidR="00DE4105" w:rsidRDefault="00653FA8" w:rsidP="00653FA8">
      <w:r w:rsidRPr="0AE81A1E">
        <w:t xml:space="preserve">The hydrogeological setting involves the study of how groundwater interacts with these geological materials. </w:t>
      </w:r>
      <w:r w:rsidR="00B707D8" w:rsidRPr="0AE81A1E">
        <w:t>It includes understanding the distribution and movement of groundwater within the soil and rocks, the recharge and discharge areas, and the overall behaviour of aquifers. Together, these settings help determine the availability and quality of groundwater in a region.</w:t>
      </w:r>
    </w:p>
    <w:p w14:paraId="074504D7" w14:textId="0A98B404" w:rsidR="0004721B" w:rsidRDefault="00CB20E4" w:rsidP="0004721B">
      <w:r w:rsidRPr="0AE81A1E">
        <w:t>Across the st</w:t>
      </w:r>
      <w:r w:rsidR="00B67CAC" w:rsidRPr="0AE81A1E">
        <w:t>u</w:t>
      </w:r>
      <w:r w:rsidRPr="0AE81A1E">
        <w:t xml:space="preserve">dy area, </w:t>
      </w:r>
      <w:r w:rsidR="00297DFC" w:rsidRPr="0AE81A1E">
        <w:t xml:space="preserve">a number of </w:t>
      </w:r>
      <w:r w:rsidR="00284B97" w:rsidRPr="0AE81A1E">
        <w:t>aquifer types are present based on the geological and hydrogeological setting of groundwater. These range from</w:t>
      </w:r>
      <w:r w:rsidR="0004721B" w:rsidRPr="0AE81A1E">
        <w:t xml:space="preserve"> shallow</w:t>
      </w:r>
      <w:r w:rsidR="00284B97" w:rsidRPr="0AE81A1E">
        <w:t xml:space="preserve"> </w:t>
      </w:r>
      <w:r w:rsidR="006722EE" w:rsidRPr="0AE81A1E">
        <w:t xml:space="preserve">alluvial aquifers, </w:t>
      </w:r>
      <w:bookmarkStart w:id="12" w:name="_Ref179370111"/>
      <w:r w:rsidR="0004721B" w:rsidRPr="0AE81A1E">
        <w:t xml:space="preserve">which are typically found in valley regions and connected to surface water, to lower aquifers and bedrock, which are </w:t>
      </w:r>
      <w:r w:rsidR="00AA379A" w:rsidRPr="0AE81A1E">
        <w:t xml:space="preserve">typically </w:t>
      </w:r>
      <w:r w:rsidR="0004721B" w:rsidRPr="0AE81A1E">
        <w:t>located much deeper below the</w:t>
      </w:r>
      <w:r w:rsidR="00AA379A" w:rsidRPr="0AE81A1E">
        <w:t xml:space="preserve"> surface</w:t>
      </w:r>
      <w:r w:rsidR="0004721B" w:rsidRPr="0AE81A1E">
        <w:t>.</w:t>
      </w:r>
    </w:p>
    <w:p w14:paraId="3D55FC6E" w14:textId="062CFF26" w:rsidR="00304336" w:rsidRPr="00C066A1" w:rsidRDefault="00304336" w:rsidP="00AF7374">
      <w:pPr>
        <w:pStyle w:val="Heading5"/>
        <w:ind w:left="1008" w:hanging="1008"/>
      </w:pPr>
      <w:bookmarkStart w:id="13" w:name="_Ref187064316"/>
      <w:r w:rsidRPr="0AE81A1E">
        <w:t>Western p</w:t>
      </w:r>
      <w:r w:rsidR="00072C66" w:rsidRPr="0AE81A1E">
        <w:t>ortion</w:t>
      </w:r>
      <w:r w:rsidRPr="0AE81A1E">
        <w:t xml:space="preserve"> of the </w:t>
      </w:r>
      <w:bookmarkEnd w:id="12"/>
      <w:r w:rsidR="00510C7E" w:rsidRPr="0AE81A1E">
        <w:t>study area</w:t>
      </w:r>
      <w:bookmarkEnd w:id="13"/>
    </w:p>
    <w:p w14:paraId="05984E27" w14:textId="4B6BE9ED" w:rsidR="00304336" w:rsidRDefault="00304336" w:rsidP="00304336">
      <w:r w:rsidRPr="0AE81A1E">
        <w:t xml:space="preserve">The </w:t>
      </w:r>
      <w:r w:rsidR="004E4625" w:rsidRPr="0AE81A1E">
        <w:t xml:space="preserve">geology of the </w:t>
      </w:r>
      <w:r w:rsidRPr="0AE81A1E">
        <w:t xml:space="preserve">western portion of the study area </w:t>
      </w:r>
      <w:r w:rsidR="004E4625" w:rsidRPr="0AE81A1E">
        <w:t xml:space="preserve">has surface </w:t>
      </w:r>
      <w:r w:rsidRPr="0AE81A1E">
        <w:t>deposits</w:t>
      </w:r>
      <w:r w:rsidR="004E4625" w:rsidRPr="0AE81A1E">
        <w:t xml:space="preserve"> from the Quaternary period</w:t>
      </w:r>
      <w:r w:rsidRPr="0AE81A1E">
        <w:t xml:space="preserve">, predominantly associated with surface water features, </w:t>
      </w:r>
      <w:r w:rsidR="006B7450" w:rsidRPr="0AE81A1E">
        <w:t>that have incised (cut)</w:t>
      </w:r>
      <w:r w:rsidR="00411785" w:rsidRPr="0AE81A1E">
        <w:t xml:space="preserve"> </w:t>
      </w:r>
      <w:r w:rsidRPr="0AE81A1E">
        <w:t xml:space="preserve">into </w:t>
      </w:r>
      <w:r w:rsidR="004E4625" w:rsidRPr="0AE81A1E">
        <w:t xml:space="preserve">older </w:t>
      </w:r>
      <w:r w:rsidRPr="0AE81A1E">
        <w:t xml:space="preserve">Cambrian bedrock. </w:t>
      </w:r>
      <w:r w:rsidR="004E4625" w:rsidRPr="0AE81A1E">
        <w:t xml:space="preserve">Key features include </w:t>
      </w:r>
      <w:r w:rsidRPr="0AE81A1E">
        <w:t>the Shepparton Formation and White Hills Gravel, comprised of gravel, sand, silt and clay.</w:t>
      </w:r>
    </w:p>
    <w:p w14:paraId="708FDDC3" w14:textId="64AC645E" w:rsidR="00304336" w:rsidRDefault="00304336" w:rsidP="00304336">
      <w:r>
        <w:t xml:space="preserve">The </w:t>
      </w:r>
      <w:r w:rsidR="004E4625">
        <w:t xml:space="preserve">groundwater </w:t>
      </w:r>
      <w:r w:rsidR="0047412C" w:rsidRPr="0047412C">
        <w:t xml:space="preserve">in this area can be described by </w:t>
      </w:r>
      <w:r w:rsidR="004E4625">
        <w:t xml:space="preserve">these </w:t>
      </w:r>
      <w:r>
        <w:t>aquifer types:</w:t>
      </w:r>
    </w:p>
    <w:p w14:paraId="5A3B7A40" w14:textId="3F49483B" w:rsidR="00304336" w:rsidRDefault="00304336" w:rsidP="00304336">
      <w:pPr>
        <w:pStyle w:val="ListBullet"/>
      </w:pPr>
      <w:r>
        <w:t>Alluvial aquifers: The</w:t>
      </w:r>
      <w:r w:rsidR="004E4625">
        <w:t>se are found in</w:t>
      </w:r>
      <w:r>
        <w:t xml:space="preserve"> valleys filled with sand, gravel and clay and are associated with creeks and rivers. </w:t>
      </w:r>
      <w:r w:rsidR="004E4625">
        <w:t xml:space="preserve">They </w:t>
      </w:r>
      <w:r>
        <w:t xml:space="preserve">host the </w:t>
      </w:r>
      <w:r w:rsidR="009E05DD">
        <w:t>watertable</w:t>
      </w:r>
      <w:r>
        <w:t xml:space="preserve"> and are </w:t>
      </w:r>
      <w:r w:rsidR="004E4625">
        <w:t>usually connected to surface water</w:t>
      </w:r>
    </w:p>
    <w:p w14:paraId="36CDBF32" w14:textId="45C023A3" w:rsidR="00304336" w:rsidRDefault="00304336" w:rsidP="00304336">
      <w:pPr>
        <w:pStyle w:val="ListBullet"/>
      </w:pPr>
      <w:r>
        <w:t>Weathered zone aquifers</w:t>
      </w:r>
      <w:r w:rsidR="00AA379A">
        <w:t xml:space="preserve"> (bedrock aquifer)</w:t>
      </w:r>
      <w:r>
        <w:t xml:space="preserve">: The </w:t>
      </w:r>
      <w:r w:rsidR="004E4625">
        <w:t>top layer of</w:t>
      </w:r>
      <w:r>
        <w:t xml:space="preserve"> fractured rock aquifers</w:t>
      </w:r>
      <w:r w:rsidR="004E4625">
        <w:t xml:space="preserve"> </w:t>
      </w:r>
      <w:r w:rsidR="00411785">
        <w:t xml:space="preserve">that has </w:t>
      </w:r>
      <w:r w:rsidR="004E4625">
        <w:t>been</w:t>
      </w:r>
      <w:r>
        <w:t xml:space="preserve"> </w:t>
      </w:r>
      <w:r w:rsidR="004E4625">
        <w:t xml:space="preserve">weather into </w:t>
      </w:r>
      <w:r>
        <w:t xml:space="preserve">silt, sand, or clay. </w:t>
      </w:r>
      <w:r w:rsidR="004E4625">
        <w:t>These</w:t>
      </w:r>
      <w:r>
        <w:t xml:space="preserve"> aquifers var</w:t>
      </w:r>
      <w:r w:rsidR="004E4625">
        <w:t>y in thickness</w:t>
      </w:r>
      <w:r>
        <w:t xml:space="preserve"> across the study area and </w:t>
      </w:r>
      <w:r w:rsidR="004E4625">
        <w:t xml:space="preserve">have low water </w:t>
      </w:r>
      <w:r>
        <w:t>yield</w:t>
      </w:r>
    </w:p>
    <w:p w14:paraId="58B672CB" w14:textId="30E77836" w:rsidR="00304336" w:rsidRDefault="00304336" w:rsidP="00304336">
      <w:pPr>
        <w:pStyle w:val="ListBullet"/>
      </w:pPr>
      <w:r>
        <w:t>Fractured rock aquifers</w:t>
      </w:r>
      <w:r w:rsidR="00AA379A">
        <w:t xml:space="preserve"> (bedrock aquifer)</w:t>
      </w:r>
      <w:r>
        <w:t xml:space="preserve">: </w:t>
      </w:r>
      <w:r w:rsidR="004E4625">
        <w:t>These aquifers are common</w:t>
      </w:r>
      <w:r>
        <w:t xml:space="preserve"> across the study area. The</w:t>
      </w:r>
      <w:r w:rsidR="004E4625">
        <w:t>ir water</w:t>
      </w:r>
      <w:r>
        <w:t xml:space="preserve"> yield </w:t>
      </w:r>
      <w:r w:rsidR="004E4625">
        <w:t>depends</w:t>
      </w:r>
      <w:r>
        <w:t xml:space="preserve"> on the number</w:t>
      </w:r>
      <w:r w:rsidR="00D04850" w:rsidRPr="001533F7">
        <w:t>, sizing, spacing and</w:t>
      </w:r>
      <w:r>
        <w:t xml:space="preserve"> </w:t>
      </w:r>
      <w:r w:rsidR="00D04850">
        <w:t xml:space="preserve">interconnectivity </w:t>
      </w:r>
      <w:r>
        <w:t>of fractures and joints.</w:t>
      </w:r>
    </w:p>
    <w:p w14:paraId="695E582C" w14:textId="205BA14E" w:rsidR="00304336" w:rsidRDefault="00304336" w:rsidP="00AF7374">
      <w:pPr>
        <w:pStyle w:val="Heading5"/>
        <w:ind w:left="1008" w:hanging="1008"/>
      </w:pPr>
      <w:r w:rsidRPr="0AE81A1E">
        <w:t xml:space="preserve">Central </w:t>
      </w:r>
      <w:r w:rsidR="00072C66" w:rsidRPr="0AE81A1E">
        <w:t>portion</w:t>
      </w:r>
      <w:r w:rsidRPr="0AE81A1E">
        <w:t xml:space="preserve"> of the </w:t>
      </w:r>
      <w:r w:rsidR="00510C7E" w:rsidRPr="0AE81A1E">
        <w:t>study area</w:t>
      </w:r>
    </w:p>
    <w:p w14:paraId="18F49D06" w14:textId="579150B2" w:rsidR="00304336" w:rsidRDefault="004E4625" w:rsidP="00FF4514">
      <w:pPr>
        <w:keepNext/>
      </w:pPr>
      <w:r w:rsidRPr="0AE81A1E">
        <w:t>The central p</w:t>
      </w:r>
      <w:r w:rsidR="00F33616" w:rsidRPr="0AE81A1E">
        <w:t>ortion</w:t>
      </w:r>
      <w:r w:rsidRPr="0AE81A1E">
        <w:t xml:space="preserve"> of the study area has geological features shaped by surface water flow and lava from nearby volcanic eruptions, which have filled in the valleys formed by the bedrock. Aquifers in the</w:t>
      </w:r>
      <w:r w:rsidR="00072C66" w:rsidRPr="0AE81A1E">
        <w:t xml:space="preserve"> study area </w:t>
      </w:r>
      <w:r w:rsidRPr="0AE81A1E">
        <w:t xml:space="preserve">are </w:t>
      </w:r>
      <w:r w:rsidR="00510C7E" w:rsidRPr="0AE81A1E">
        <w:t>alluvial, weathered zone, and fractured rock</w:t>
      </w:r>
      <w:r w:rsidR="00072C66" w:rsidRPr="0AE81A1E">
        <w:t xml:space="preserve"> aquifer types</w:t>
      </w:r>
      <w:r w:rsidR="00510C7E" w:rsidRPr="0AE81A1E">
        <w:t xml:space="preserve"> as outlined in Section</w:t>
      </w:r>
      <w:r w:rsidR="00561CFB" w:rsidRPr="0AE81A1E">
        <w:t xml:space="preserve"> </w:t>
      </w:r>
      <w:r>
        <w:fldChar w:fldCharType="begin"/>
      </w:r>
      <w:r>
        <w:instrText xml:space="preserve"> REF _Ref186988566 \r \h </w:instrText>
      </w:r>
      <w:r>
        <w:fldChar w:fldCharType="separate"/>
      </w:r>
      <w:r w:rsidR="00D83237">
        <w:t>24.3.1</w:t>
      </w:r>
      <w:r>
        <w:fldChar w:fldCharType="end"/>
      </w:r>
      <w:r w:rsidR="00D04850" w:rsidRPr="0AE81A1E">
        <w:t xml:space="preserve"> - </w:t>
      </w:r>
      <w:r>
        <w:fldChar w:fldCharType="begin"/>
      </w:r>
      <w:r>
        <w:instrText xml:space="preserve"> REF _Ref187064316 \h </w:instrText>
      </w:r>
      <w:r>
        <w:fldChar w:fldCharType="separate"/>
      </w:r>
      <w:r w:rsidR="00D83237" w:rsidRPr="0AE81A1E">
        <w:t>Western portion of the study area</w:t>
      </w:r>
      <w:r>
        <w:fldChar w:fldCharType="end"/>
      </w:r>
      <w:r w:rsidR="00510C7E" w:rsidRPr="0AE81A1E">
        <w:t>.</w:t>
      </w:r>
    </w:p>
    <w:p w14:paraId="723A7582" w14:textId="6D4EC94A" w:rsidR="00304336" w:rsidRDefault="00304336" w:rsidP="00AF7374">
      <w:pPr>
        <w:pStyle w:val="Heading5"/>
        <w:ind w:left="1008" w:hanging="1008"/>
      </w:pPr>
      <w:r w:rsidRPr="0AE81A1E">
        <w:t xml:space="preserve">Eastern </w:t>
      </w:r>
      <w:r w:rsidR="00072C66" w:rsidRPr="0AE81A1E">
        <w:t>portion</w:t>
      </w:r>
      <w:r w:rsidRPr="0AE81A1E">
        <w:t xml:space="preserve"> of the </w:t>
      </w:r>
      <w:r w:rsidR="00510C7E" w:rsidRPr="0AE81A1E">
        <w:t>study area</w:t>
      </w:r>
    </w:p>
    <w:p w14:paraId="1F43450A" w14:textId="06FB4E5F" w:rsidR="00510C7E" w:rsidRDefault="00510C7E" w:rsidP="00510C7E">
      <w:r w:rsidRPr="0AE81A1E">
        <w:t xml:space="preserve">The eastern portion of the study area </w:t>
      </w:r>
      <w:r w:rsidR="004E4625" w:rsidRPr="0AE81A1E">
        <w:t>has geological features shaped by surface water flow and lava from nearby volcanic eruptions, which have filled and covered the valleys formed by the bedrock.</w:t>
      </w:r>
      <w:r w:rsidR="00411785" w:rsidRPr="0AE81A1E">
        <w:t xml:space="preserve"> Alluvial deposits can be encountered at surface water features.</w:t>
      </w:r>
    </w:p>
    <w:p w14:paraId="11CF4232" w14:textId="77C24678" w:rsidR="00510C7E" w:rsidRDefault="00510C7E" w:rsidP="00510C7E">
      <w:r>
        <w:t xml:space="preserve">The </w:t>
      </w:r>
      <w:r w:rsidR="004E4625">
        <w:t xml:space="preserve">groundwater in this area can be described by these </w:t>
      </w:r>
      <w:r>
        <w:t>aquifer types:</w:t>
      </w:r>
    </w:p>
    <w:p w14:paraId="572B4198" w14:textId="02B555B2" w:rsidR="00510C7E" w:rsidRDefault="00510C7E" w:rsidP="00510C7E">
      <w:pPr>
        <w:pStyle w:val="ListBullet"/>
      </w:pPr>
      <w:r w:rsidRPr="0AE81A1E">
        <w:t>Upper aquifers: Th</w:t>
      </w:r>
      <w:r w:rsidR="004E4625" w:rsidRPr="0AE81A1E">
        <w:t>e</w:t>
      </w:r>
      <w:r w:rsidRPr="0AE81A1E">
        <w:t>s</w:t>
      </w:r>
      <w:r w:rsidR="004E4625" w:rsidRPr="0AE81A1E">
        <w:t>e</w:t>
      </w:r>
      <w:r w:rsidRPr="0AE81A1E">
        <w:t xml:space="preserve"> include Quaternary alluvial units, White Hills Gravel and the Tertiary Newer Volcanics Basalt. They </w:t>
      </w:r>
      <w:r w:rsidR="00F33616" w:rsidRPr="0AE81A1E">
        <w:t xml:space="preserve">are located </w:t>
      </w:r>
      <w:r w:rsidR="004E4625" w:rsidRPr="0AE81A1E">
        <w:t>near the surface,</w:t>
      </w:r>
      <w:r w:rsidRPr="0AE81A1E">
        <w:t xml:space="preserve"> unconfined and generally interact with each other and </w:t>
      </w:r>
      <w:r w:rsidR="004E4625" w:rsidRPr="0AE81A1E">
        <w:t xml:space="preserve">nearby </w:t>
      </w:r>
      <w:r w:rsidRPr="0AE81A1E">
        <w:t>surface water</w:t>
      </w:r>
      <w:r w:rsidR="00F33616" w:rsidRPr="0AE81A1E">
        <w:t xml:space="preserve"> features</w:t>
      </w:r>
    </w:p>
    <w:p w14:paraId="6F7976F1" w14:textId="230799E8" w:rsidR="00304336" w:rsidRPr="00304336" w:rsidRDefault="00510C7E" w:rsidP="00304336">
      <w:pPr>
        <w:pStyle w:val="ListBullet"/>
      </w:pPr>
      <w:r w:rsidRPr="0AE81A1E">
        <w:t xml:space="preserve">Lower aquifers and bedrock: </w:t>
      </w:r>
      <w:r w:rsidR="004E4625" w:rsidRPr="0AE81A1E">
        <w:t xml:space="preserve">These aquifers are usually found deeper than </w:t>
      </w:r>
      <w:r w:rsidRPr="0AE81A1E">
        <w:t>50m below surface</w:t>
      </w:r>
      <w:r w:rsidR="004E4625" w:rsidRPr="0AE81A1E">
        <w:t>; however,</w:t>
      </w:r>
      <w:r w:rsidRPr="0AE81A1E">
        <w:t xml:space="preserve"> in the eastern portion of the study area </w:t>
      </w:r>
      <w:r w:rsidR="004E4625" w:rsidRPr="0AE81A1E">
        <w:t>they</w:t>
      </w:r>
      <w:r w:rsidRPr="0AE81A1E">
        <w:t xml:space="preserve"> are present at the surface </w:t>
      </w:r>
      <w:r w:rsidR="004E4625" w:rsidRPr="0AE81A1E">
        <w:t>due to higher ground and the</w:t>
      </w:r>
      <w:r w:rsidRPr="0AE81A1E">
        <w:t xml:space="preserve"> Rowsley Fault</w:t>
      </w:r>
      <w:r w:rsidR="004E4625" w:rsidRPr="0AE81A1E">
        <w:t xml:space="preserve">. This includes </w:t>
      </w:r>
      <w:r w:rsidRPr="0AE81A1E">
        <w:t>the Werribee Formation and Older Volcanics.</w:t>
      </w:r>
    </w:p>
    <w:p w14:paraId="26C1DFC7" w14:textId="77777777" w:rsidR="00304336" w:rsidRDefault="00304336" w:rsidP="0045702E">
      <w:pPr>
        <w:pStyle w:val="Heading3"/>
      </w:pPr>
      <w:bookmarkStart w:id="14" w:name="_Toc201047258"/>
      <w:r w:rsidRPr="0AE81A1E">
        <w:lastRenderedPageBreak/>
        <w:t>Groundwater levels, flow and recharge</w:t>
      </w:r>
      <w:bookmarkEnd w:id="14"/>
    </w:p>
    <w:p w14:paraId="6AE9886B" w14:textId="311A82C3" w:rsidR="00CB3629" w:rsidRDefault="004E4625" w:rsidP="00CB3629">
      <w:r w:rsidRPr="0AE81A1E">
        <w:t>S</w:t>
      </w:r>
      <w:r w:rsidR="00304336" w:rsidRPr="0AE81A1E">
        <w:t>tate-wide mapping</w:t>
      </w:r>
      <w:r w:rsidRPr="0AE81A1E">
        <w:t xml:space="preserve"> shows the </w:t>
      </w:r>
      <w:r w:rsidR="00304336" w:rsidRPr="0AE81A1E">
        <w:t xml:space="preserve">expected depth to </w:t>
      </w:r>
      <w:r w:rsidR="009B7F65" w:rsidRPr="0AE81A1E">
        <w:t xml:space="preserve">the </w:t>
      </w:r>
      <w:r w:rsidR="009E05DD" w:rsidRPr="0AE81A1E">
        <w:t>watertable</w:t>
      </w:r>
      <w:r w:rsidRPr="0AE81A1E">
        <w:t xml:space="preserve"> </w:t>
      </w:r>
      <w:r w:rsidR="00F33616" w:rsidRPr="0AE81A1E">
        <w:t>across</w:t>
      </w:r>
      <w:r w:rsidRPr="0AE81A1E">
        <w:t xml:space="preserve"> </w:t>
      </w:r>
      <w:r w:rsidR="00304336" w:rsidRPr="0AE81A1E">
        <w:t xml:space="preserve">the study area </w:t>
      </w:r>
      <w:r w:rsidRPr="0AE81A1E">
        <w:t xml:space="preserve">varies </w:t>
      </w:r>
      <w:r w:rsidR="00304336" w:rsidRPr="0AE81A1E">
        <w:t>from less than 5m to greater than 50m</w:t>
      </w:r>
      <w:r w:rsidR="002D39B1" w:rsidRPr="0AE81A1E">
        <w:t>,</w:t>
      </w:r>
      <w:r w:rsidR="00D52B7A" w:rsidRPr="0AE81A1E">
        <w:t xml:space="preserve"> with groundwater</w:t>
      </w:r>
      <w:r w:rsidR="002D39B1" w:rsidRPr="0AE81A1E">
        <w:t xml:space="preserve"> typically </w:t>
      </w:r>
      <w:r w:rsidR="00D52B7A" w:rsidRPr="0AE81A1E">
        <w:t xml:space="preserve">occurring </w:t>
      </w:r>
      <w:r w:rsidR="002D39B1" w:rsidRPr="0AE81A1E">
        <w:t>1</w:t>
      </w:r>
      <w:r w:rsidR="00D52B7A" w:rsidRPr="0AE81A1E">
        <w:t>0</w:t>
      </w:r>
      <w:r w:rsidR="002D39B1" w:rsidRPr="0AE81A1E">
        <w:t xml:space="preserve"> to 20m below the surface</w:t>
      </w:r>
      <w:r w:rsidR="00304336" w:rsidRPr="0AE81A1E">
        <w:t xml:space="preserve">. </w:t>
      </w:r>
      <w:r w:rsidRPr="0AE81A1E">
        <w:t>S</w:t>
      </w:r>
      <w:r w:rsidR="00304336" w:rsidRPr="0AE81A1E">
        <w:t xml:space="preserve">hallow </w:t>
      </w:r>
      <w:r w:rsidR="009E05DD" w:rsidRPr="0AE81A1E">
        <w:t>watertable</w:t>
      </w:r>
      <w:r w:rsidRPr="0AE81A1E">
        <w:t xml:space="preserve">s </w:t>
      </w:r>
      <w:r w:rsidR="00304336" w:rsidRPr="0AE81A1E">
        <w:t xml:space="preserve">(less than 5m) </w:t>
      </w:r>
      <w:r w:rsidRPr="0AE81A1E">
        <w:t xml:space="preserve">are </w:t>
      </w:r>
      <w:r w:rsidR="00D52B7A" w:rsidRPr="0AE81A1E">
        <w:t xml:space="preserve">generally </w:t>
      </w:r>
      <w:r w:rsidRPr="0AE81A1E">
        <w:t>found in</w:t>
      </w:r>
      <w:r w:rsidR="00304336" w:rsidRPr="0AE81A1E">
        <w:t xml:space="preserve"> </w:t>
      </w:r>
      <w:r w:rsidR="00411785" w:rsidRPr="0AE81A1E">
        <w:t xml:space="preserve">low-lying areas and </w:t>
      </w:r>
      <w:r w:rsidR="00304336" w:rsidRPr="0AE81A1E">
        <w:t xml:space="preserve">valleys </w:t>
      </w:r>
      <w:r w:rsidRPr="0AE81A1E">
        <w:t xml:space="preserve">with </w:t>
      </w:r>
      <w:r w:rsidR="00304336" w:rsidRPr="0AE81A1E">
        <w:t>surface water</w:t>
      </w:r>
      <w:r w:rsidRPr="0AE81A1E">
        <w:t xml:space="preserve">, while </w:t>
      </w:r>
      <w:r w:rsidR="00304336" w:rsidRPr="0AE81A1E">
        <w:t xml:space="preserve">deeper </w:t>
      </w:r>
      <w:r w:rsidR="009E05DD" w:rsidRPr="0AE81A1E">
        <w:t>watertable</w:t>
      </w:r>
      <w:r w:rsidR="00B95333" w:rsidRPr="0AE81A1E">
        <w:t>s</w:t>
      </w:r>
      <w:r w:rsidR="00304336" w:rsidRPr="0AE81A1E">
        <w:t xml:space="preserve"> </w:t>
      </w:r>
      <w:r w:rsidRPr="0AE81A1E">
        <w:t>are</w:t>
      </w:r>
      <w:r w:rsidR="00304336" w:rsidRPr="0AE81A1E">
        <w:t xml:space="preserve"> in areas of high elevation</w:t>
      </w:r>
      <w:r w:rsidRPr="0AE81A1E">
        <w:t xml:space="preserve"> with exposed bedrock</w:t>
      </w:r>
      <w:r w:rsidR="00304336" w:rsidRPr="0AE81A1E">
        <w:t>.</w:t>
      </w:r>
      <w:r w:rsidR="005A32E2" w:rsidRPr="0AE81A1E">
        <w:t xml:space="preserve"> </w:t>
      </w:r>
      <w:r w:rsidR="007878FB" w:rsidRPr="0AE81A1E">
        <w:t>The construction of transmission towers</w:t>
      </w:r>
      <w:r w:rsidR="005D2C9E" w:rsidRPr="0AE81A1E">
        <w:t xml:space="preserve"> typically</w:t>
      </w:r>
      <w:r w:rsidR="007878FB" w:rsidRPr="0AE81A1E">
        <w:t xml:space="preserve"> requires </w:t>
      </w:r>
      <w:r w:rsidR="00472915" w:rsidRPr="0AE81A1E">
        <w:t xml:space="preserve">earthworks to a depth of 9m, meaning that </w:t>
      </w:r>
      <w:r w:rsidR="00CB3629" w:rsidRPr="0AE81A1E">
        <w:t>groundwater is likely to be encountered at some</w:t>
      </w:r>
      <w:r w:rsidR="00472915" w:rsidRPr="0AE81A1E">
        <w:t xml:space="preserve"> transmission tower</w:t>
      </w:r>
      <w:r w:rsidR="00CB3629" w:rsidRPr="0AE81A1E">
        <w:t xml:space="preserve"> locations</w:t>
      </w:r>
      <w:r w:rsidR="00472915" w:rsidRPr="0AE81A1E">
        <w:t xml:space="preserve"> during construction</w:t>
      </w:r>
      <w:r w:rsidR="00CB3629" w:rsidRPr="0AE81A1E">
        <w:t xml:space="preserve">. Almost half of the study area is expected to have groundwater within 10m of the surface, including the location of the </w:t>
      </w:r>
      <w:r w:rsidR="004B15BE" w:rsidRPr="0AE81A1E">
        <w:t>new 500kV terminal station near Bulgana</w:t>
      </w:r>
      <w:r w:rsidR="00CB3629" w:rsidRPr="0AE81A1E">
        <w:t xml:space="preserve">, Sydenham Terminal Station, and Elaine Terminal Station. </w:t>
      </w:r>
    </w:p>
    <w:p w14:paraId="2679B789" w14:textId="6A7C2B47" w:rsidR="00304336" w:rsidRDefault="00304336" w:rsidP="00051E23">
      <w:r w:rsidRPr="0AE81A1E">
        <w:t xml:space="preserve">Groundwater in the study area </w:t>
      </w:r>
      <w:r w:rsidR="004E4625" w:rsidRPr="0AE81A1E">
        <w:t>generally flows in the same direction as the land slope</w:t>
      </w:r>
      <w:r w:rsidRPr="0AE81A1E">
        <w:t xml:space="preserve">. Locally, groundwater flows towards the valleys and is discharged to creeks and rivers. </w:t>
      </w:r>
      <w:r w:rsidR="00260B75" w:rsidRPr="0AE81A1E">
        <w:t xml:space="preserve">Regionally, </w:t>
      </w:r>
      <w:r w:rsidR="004E4625" w:rsidRPr="0AE81A1E">
        <w:t xml:space="preserve">and </w:t>
      </w:r>
      <w:r w:rsidR="00260B75" w:rsidRPr="0AE81A1E">
        <w:t>in the western and central</w:t>
      </w:r>
      <w:r w:rsidR="004E4625" w:rsidRPr="0AE81A1E">
        <w:t xml:space="preserve"> parts of the</w:t>
      </w:r>
      <w:r w:rsidR="00260B75" w:rsidRPr="0AE81A1E">
        <w:t xml:space="preserve"> study area</w:t>
      </w:r>
      <w:r w:rsidR="004E4625" w:rsidRPr="0AE81A1E">
        <w:t>, groundwater</w:t>
      </w:r>
      <w:r w:rsidR="006B7450" w:rsidRPr="0AE81A1E">
        <w:t xml:space="preserve"> crosses a ridgeline and</w:t>
      </w:r>
      <w:r w:rsidR="004E4625" w:rsidRPr="0AE81A1E">
        <w:t xml:space="preserve"> flow</w:t>
      </w:r>
      <w:r w:rsidR="00260B75" w:rsidRPr="0AE81A1E">
        <w:t>s in a northerly and southerly direction. In the eastern study area, regional groundwater flow is to the south-east.</w:t>
      </w:r>
    </w:p>
    <w:p w14:paraId="76B2AAA2" w14:textId="73D0A0FC" w:rsidR="00304336" w:rsidRPr="003660CE" w:rsidRDefault="00304336" w:rsidP="00051E23">
      <w:r w:rsidRPr="00304336">
        <w:t>The recharge process</w:t>
      </w:r>
      <w:r w:rsidR="00510C7E">
        <w:t xml:space="preserve"> for </w:t>
      </w:r>
      <w:r w:rsidR="00A140A3">
        <w:t>a</w:t>
      </w:r>
      <w:r w:rsidR="00747604">
        <w:t>quifer</w:t>
      </w:r>
      <w:r w:rsidR="005D2C9E">
        <w:t>s</w:t>
      </w:r>
      <w:r w:rsidR="00747604">
        <w:t xml:space="preserve"> present in </w:t>
      </w:r>
      <w:r w:rsidR="004E4625">
        <w:t xml:space="preserve">the study area </w:t>
      </w:r>
      <w:r w:rsidRPr="00304336">
        <w:t xml:space="preserve">is </w:t>
      </w:r>
      <w:r w:rsidR="0047412C">
        <w:t xml:space="preserve">through </w:t>
      </w:r>
      <w:r w:rsidRPr="00304336">
        <w:t>direct rainfall infiltration</w:t>
      </w:r>
      <w:r w:rsidR="00747604">
        <w:t xml:space="preserve">, a process that is </w:t>
      </w:r>
      <w:r w:rsidR="00A140A3">
        <w:t>described in</w:t>
      </w:r>
      <w:r w:rsidR="00747604">
        <w:t xml:space="preserve"> Section </w:t>
      </w:r>
      <w:r w:rsidR="00747604">
        <w:fldChar w:fldCharType="begin"/>
      </w:r>
      <w:r w:rsidR="00747604">
        <w:instrText xml:space="preserve"> REF _Ref182377744 \n \h </w:instrText>
      </w:r>
      <w:r w:rsidR="00747604">
        <w:fldChar w:fldCharType="separate"/>
      </w:r>
      <w:r w:rsidR="00D83237">
        <w:t>24.4.1</w:t>
      </w:r>
      <w:r w:rsidR="00747604">
        <w:fldChar w:fldCharType="end"/>
      </w:r>
      <w:r w:rsidRPr="00304336">
        <w:t xml:space="preserve">. </w:t>
      </w:r>
      <w:r w:rsidR="003055E4">
        <w:t>Natural d</w:t>
      </w:r>
      <w:r w:rsidRPr="00304336">
        <w:t>ischarge from aquifers is expected to be towards valleys and into creeks and rivers.</w:t>
      </w:r>
      <w:r w:rsidR="00AA3F4A">
        <w:t xml:space="preserve"> In addition, </w:t>
      </w:r>
      <w:r w:rsidR="00832A08">
        <w:t xml:space="preserve">groundwater is extracted from bores and wells </w:t>
      </w:r>
      <w:r w:rsidR="00024D40">
        <w:t xml:space="preserve">across the study area as described in Section </w:t>
      </w:r>
      <w:r w:rsidR="00024D40">
        <w:fldChar w:fldCharType="begin"/>
      </w:r>
      <w:r w:rsidR="00024D40">
        <w:instrText xml:space="preserve"> REF _Ref182389694 \n \h </w:instrText>
      </w:r>
      <w:r w:rsidR="00024D40">
        <w:fldChar w:fldCharType="separate"/>
      </w:r>
      <w:r w:rsidR="00D83237">
        <w:t>24.3.4</w:t>
      </w:r>
      <w:r w:rsidR="00024D40">
        <w:fldChar w:fldCharType="end"/>
      </w:r>
      <w:r w:rsidR="00024D40">
        <w:t>.</w:t>
      </w:r>
    </w:p>
    <w:p w14:paraId="3F4904C9" w14:textId="77777777" w:rsidR="00304336" w:rsidRDefault="00304336" w:rsidP="0045702E">
      <w:pPr>
        <w:pStyle w:val="Heading3"/>
      </w:pPr>
      <w:bookmarkStart w:id="15" w:name="_Toc201047259"/>
      <w:r>
        <w:t>Groundwater quality</w:t>
      </w:r>
      <w:bookmarkEnd w:id="15"/>
    </w:p>
    <w:p w14:paraId="59624905" w14:textId="2B39C65C" w:rsidR="00611F50" w:rsidRDefault="00304336" w:rsidP="00611F50">
      <w:r w:rsidRPr="00304336">
        <w:t xml:space="preserve">Groundwater </w:t>
      </w:r>
      <w:r w:rsidR="00611F50">
        <w:t>quality</w:t>
      </w:r>
      <w:r w:rsidR="00611F50" w:rsidRPr="00304336">
        <w:t xml:space="preserve"> </w:t>
      </w:r>
      <w:r w:rsidRPr="00304336">
        <w:t xml:space="preserve">within the study area is </w:t>
      </w:r>
      <w:r w:rsidR="00611F50">
        <w:t xml:space="preserve">outlined in </w:t>
      </w:r>
      <w:r w:rsidR="003B6C38">
        <w:fldChar w:fldCharType="begin"/>
      </w:r>
      <w:r w:rsidR="003B6C38">
        <w:instrText xml:space="preserve"> REF _Ref180062686 \h </w:instrText>
      </w:r>
      <w:r w:rsidR="003B6C38">
        <w:fldChar w:fldCharType="separate"/>
      </w:r>
      <w:r w:rsidR="00BD3768" w:rsidRPr="009038E7">
        <w:t>Table</w:t>
      </w:r>
      <w:r w:rsidR="00BD3768">
        <w:t> </w:t>
      </w:r>
      <w:r w:rsidR="00BD3768">
        <w:rPr>
          <w:noProof/>
        </w:rPr>
        <w:t>24</w:t>
      </w:r>
      <w:r w:rsidR="00BD3768">
        <w:rPr>
          <w:rFonts w:cstheme="minorHAnsi"/>
          <w:bCs/>
        </w:rPr>
        <w:t>.</w:t>
      </w:r>
      <w:r w:rsidR="00BD3768">
        <w:rPr>
          <w:noProof/>
        </w:rPr>
        <w:t>1</w:t>
      </w:r>
      <w:r w:rsidR="003B6C38">
        <w:fldChar w:fldCharType="end"/>
      </w:r>
      <w:r w:rsidR="00611F50">
        <w:t xml:space="preserve">. </w:t>
      </w:r>
      <w:r w:rsidR="00611F50" w:rsidRPr="00304336">
        <w:t>Sources of groundwater contamination are described in detail in</w:t>
      </w:r>
      <w:r w:rsidR="00611F50">
        <w:t xml:space="preserve"> </w:t>
      </w:r>
      <w:r w:rsidR="00611F50">
        <w:rPr>
          <w:b/>
          <w:bCs/>
        </w:rPr>
        <w:t>Technical Report R: Contaminated Land Impact Assessment</w:t>
      </w:r>
      <w:r w:rsidR="00611F50">
        <w:t xml:space="preserve"> and are summarised where relevant to groundwater existing conditions</w:t>
      </w:r>
      <w:r w:rsidR="00611F50" w:rsidRPr="00304336">
        <w:t>.</w:t>
      </w:r>
    </w:p>
    <w:p w14:paraId="2B9C707B" w14:textId="4764B8AC" w:rsidR="00611F50" w:rsidRDefault="00787E92" w:rsidP="000059BF">
      <w:pPr>
        <w:pStyle w:val="Caption"/>
        <w:keepNext/>
      </w:pPr>
      <w:bookmarkStart w:id="16" w:name="_Ref180062686"/>
      <w:bookmarkStart w:id="17" w:name="_Ref179970657"/>
      <w:r w:rsidRPr="009038E7">
        <w:lastRenderedPageBreak/>
        <w:t>Table</w:t>
      </w:r>
      <w:r>
        <w:t> </w:t>
      </w:r>
      <w:r>
        <w:fldChar w:fldCharType="begin"/>
      </w:r>
      <w:r>
        <w:instrText>STYLEREF 1 \s</w:instrText>
      </w:r>
      <w:r>
        <w:fldChar w:fldCharType="separate"/>
      </w:r>
      <w:r w:rsidR="00D83237">
        <w:rPr>
          <w:noProof/>
        </w:rPr>
        <w:t>24</w:t>
      </w:r>
      <w:r>
        <w:fldChar w:fldCharType="end"/>
      </w:r>
      <w:r w:rsidR="00BD3768">
        <w:rPr>
          <w:rFonts w:cstheme="minorHAnsi"/>
          <w:bCs/>
        </w:rPr>
        <w:t>.</w:t>
      </w:r>
      <w:r>
        <w:fldChar w:fldCharType="begin"/>
      </w:r>
      <w:r>
        <w:instrText>SEQ Table \* ARABIC \s 1</w:instrText>
      </w:r>
      <w:r>
        <w:fldChar w:fldCharType="separate"/>
      </w:r>
      <w:r w:rsidR="00D83237">
        <w:rPr>
          <w:noProof/>
        </w:rPr>
        <w:t>1</w:t>
      </w:r>
      <w:r>
        <w:fldChar w:fldCharType="end"/>
      </w:r>
      <w:bookmarkEnd w:id="16"/>
      <w:r w:rsidRPr="009038E7">
        <w:t xml:space="preserve"> </w:t>
      </w:r>
      <w:bookmarkEnd w:id="17"/>
      <w:r w:rsidR="00611F50">
        <w:t>Groundwater quality across the study area</w:t>
      </w:r>
    </w:p>
    <w:tbl>
      <w:tblPr>
        <w:tblStyle w:val="WVTTable2"/>
        <w:tblW w:w="5000" w:type="pct"/>
        <w:tblLook w:val="04A0" w:firstRow="1" w:lastRow="0" w:firstColumn="1" w:lastColumn="0" w:noHBand="0" w:noVBand="1"/>
      </w:tblPr>
      <w:tblGrid>
        <w:gridCol w:w="1489"/>
        <w:gridCol w:w="1963"/>
        <w:gridCol w:w="2881"/>
        <w:gridCol w:w="2737"/>
      </w:tblGrid>
      <w:tr w:rsidR="00611F50" w:rsidRPr="00826EE9" w14:paraId="62392450" w14:textId="77777777" w:rsidTr="00F30B86">
        <w:trPr>
          <w:cnfStyle w:val="100000000000" w:firstRow="1" w:lastRow="0" w:firstColumn="0" w:lastColumn="0" w:oddVBand="0" w:evenVBand="0" w:oddHBand="0" w:evenHBand="0" w:firstRowFirstColumn="0" w:firstRowLastColumn="0" w:lastRowFirstColumn="0" w:lastRowLastColumn="0"/>
          <w:cantSplit/>
          <w:trHeight w:val="275"/>
          <w:tblHeader/>
        </w:trPr>
        <w:tc>
          <w:tcPr>
            <w:cnfStyle w:val="001000000000" w:firstRow="0" w:lastRow="0" w:firstColumn="1" w:lastColumn="0" w:oddVBand="0" w:evenVBand="0" w:oddHBand="0" w:evenHBand="0" w:firstRowFirstColumn="0" w:firstRowLastColumn="0" w:lastRowFirstColumn="0" w:lastRowLastColumn="0"/>
            <w:tcW w:w="821" w:type="pct"/>
            <w:vMerge w:val="restart"/>
            <w:vAlign w:val="center"/>
          </w:tcPr>
          <w:p w14:paraId="536E8077" w14:textId="0F74035D" w:rsidR="00611F50" w:rsidRPr="00E467B0" w:rsidRDefault="00611F50" w:rsidP="00F30B86">
            <w:pPr>
              <w:pStyle w:val="TableText"/>
              <w:keepNext/>
              <w:keepLines/>
            </w:pPr>
            <w:r>
              <w:t>Quality</w:t>
            </w:r>
          </w:p>
        </w:tc>
        <w:tc>
          <w:tcPr>
            <w:tcW w:w="4179" w:type="pct"/>
            <w:gridSpan w:val="3"/>
          </w:tcPr>
          <w:p w14:paraId="1C2F6B6E" w14:textId="68E6F4C7" w:rsidR="00611F50" w:rsidRPr="00456A6D" w:rsidRDefault="00611F50" w:rsidP="00F30B86">
            <w:pPr>
              <w:pStyle w:val="TableText"/>
              <w:keepNext/>
              <w:keepLines/>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Cs/>
                <w:color w:val="FFFFFF" w:themeColor="background2"/>
              </w:rPr>
            </w:pPr>
            <w:r w:rsidRPr="00456A6D">
              <w:rPr>
                <w:rFonts w:ascii="Century Gothic" w:hAnsi="Century Gothic" w:cstheme="minorHAnsi"/>
                <w:bCs/>
                <w:color w:val="FFFFFF" w:themeColor="background2"/>
              </w:rPr>
              <w:t xml:space="preserve">Study </w:t>
            </w:r>
            <w:r w:rsidR="00182D0D">
              <w:rPr>
                <w:rFonts w:ascii="Century Gothic" w:hAnsi="Century Gothic" w:cstheme="minorHAnsi"/>
                <w:bCs/>
                <w:color w:val="FFFFFF" w:themeColor="background2"/>
              </w:rPr>
              <w:t>a</w:t>
            </w:r>
            <w:r w:rsidRPr="00456A6D">
              <w:rPr>
                <w:rFonts w:ascii="Century Gothic" w:hAnsi="Century Gothic" w:cstheme="minorHAnsi"/>
                <w:bCs/>
                <w:color w:val="FFFFFF" w:themeColor="background2"/>
              </w:rPr>
              <w:t>rea</w:t>
            </w:r>
          </w:p>
        </w:tc>
      </w:tr>
      <w:tr w:rsidR="00611F50" w:rsidRPr="00826EE9" w14:paraId="2AC5C652" w14:textId="77777777" w:rsidTr="00E86AD0">
        <w:trPr>
          <w:cnfStyle w:val="100000000000" w:firstRow="1" w:lastRow="0" w:firstColumn="0" w:lastColumn="0" w:oddVBand="0" w:evenVBand="0" w:oddHBand="0" w:evenHBand="0" w:firstRowFirstColumn="0" w:firstRowLastColumn="0" w:lastRowFirstColumn="0" w:lastRowLastColumn="0"/>
          <w:cantSplit/>
          <w:trHeight w:val="55"/>
          <w:tblHeader/>
        </w:trPr>
        <w:tc>
          <w:tcPr>
            <w:cnfStyle w:val="001000000000" w:firstRow="0" w:lastRow="0" w:firstColumn="1" w:lastColumn="0" w:oddVBand="0" w:evenVBand="0" w:oddHBand="0" w:evenHBand="0" w:firstRowFirstColumn="0" w:firstRowLastColumn="0" w:lastRowFirstColumn="0" w:lastRowLastColumn="0"/>
            <w:tcW w:w="821" w:type="pct"/>
            <w:vMerge/>
          </w:tcPr>
          <w:p w14:paraId="53E6B369" w14:textId="6585BB70" w:rsidR="00611F50" w:rsidRPr="00E467B0" w:rsidRDefault="00611F50" w:rsidP="00F30B86">
            <w:pPr>
              <w:pStyle w:val="TableText"/>
              <w:keepNext/>
              <w:keepLines/>
            </w:pPr>
          </w:p>
        </w:tc>
        <w:tc>
          <w:tcPr>
            <w:tcW w:w="1082" w:type="pct"/>
          </w:tcPr>
          <w:p w14:paraId="547DB782" w14:textId="6FDD9B19" w:rsidR="00611F50" w:rsidRPr="005422A0" w:rsidRDefault="00611F50" w:rsidP="00F30B86">
            <w:pPr>
              <w:pStyle w:val="TableHeading"/>
              <w:keepNext/>
              <w:keepLines/>
              <w:cnfStyle w:val="100000000000" w:firstRow="1" w:lastRow="0" w:firstColumn="0" w:lastColumn="0" w:oddVBand="0" w:evenVBand="0" w:oddHBand="0" w:evenHBand="0" w:firstRowFirstColumn="0" w:firstRowLastColumn="0" w:lastRowFirstColumn="0" w:lastRowLastColumn="0"/>
              <w:rPr>
                <w:b/>
              </w:rPr>
            </w:pPr>
            <w:r w:rsidRPr="0036145F">
              <w:t>Western</w:t>
            </w:r>
          </w:p>
        </w:tc>
        <w:tc>
          <w:tcPr>
            <w:tcW w:w="1588" w:type="pct"/>
          </w:tcPr>
          <w:p w14:paraId="65EED0D7" w14:textId="239412DB" w:rsidR="00611F50" w:rsidRPr="005422A0" w:rsidRDefault="00611F50" w:rsidP="00F30B86">
            <w:pPr>
              <w:pStyle w:val="TableHeading"/>
              <w:keepNext/>
              <w:keepLines/>
              <w:cnfStyle w:val="100000000000" w:firstRow="1" w:lastRow="0" w:firstColumn="0" w:lastColumn="0" w:oddVBand="0" w:evenVBand="0" w:oddHBand="0" w:evenHBand="0" w:firstRowFirstColumn="0" w:firstRowLastColumn="0" w:lastRowFirstColumn="0" w:lastRowLastColumn="0"/>
              <w:rPr>
                <w:b/>
              </w:rPr>
            </w:pPr>
            <w:r w:rsidRPr="0036145F">
              <w:t>Central</w:t>
            </w:r>
          </w:p>
        </w:tc>
        <w:tc>
          <w:tcPr>
            <w:tcW w:w="1509" w:type="pct"/>
          </w:tcPr>
          <w:p w14:paraId="1AA0C59C" w14:textId="02A4304E" w:rsidR="00611F50" w:rsidRPr="005422A0" w:rsidRDefault="00611F50" w:rsidP="00F30B86">
            <w:pPr>
              <w:pStyle w:val="TableHeading"/>
              <w:keepNext/>
              <w:keepLines/>
              <w:cnfStyle w:val="100000000000" w:firstRow="1" w:lastRow="0" w:firstColumn="0" w:lastColumn="0" w:oddVBand="0" w:evenVBand="0" w:oddHBand="0" w:evenHBand="0" w:firstRowFirstColumn="0" w:firstRowLastColumn="0" w:lastRowFirstColumn="0" w:lastRowLastColumn="0"/>
              <w:rPr>
                <w:b/>
              </w:rPr>
            </w:pPr>
            <w:r w:rsidRPr="0036145F">
              <w:t>Eastern</w:t>
            </w:r>
          </w:p>
        </w:tc>
      </w:tr>
      <w:tr w:rsidR="00611F50" w14:paraId="0CF78D01" w14:textId="24C9B33C" w:rsidTr="00E86AD0">
        <w:trPr>
          <w:cantSplit/>
          <w:trHeight w:val="422"/>
        </w:trPr>
        <w:tc>
          <w:tcPr>
            <w:cnfStyle w:val="001000000000" w:firstRow="0" w:lastRow="0" w:firstColumn="1" w:lastColumn="0" w:oddVBand="0" w:evenVBand="0" w:oddHBand="0" w:evenHBand="0" w:firstRowFirstColumn="0" w:firstRowLastColumn="0" w:lastRowFirstColumn="0" w:lastRowLastColumn="0"/>
            <w:tcW w:w="821" w:type="pct"/>
          </w:tcPr>
          <w:p w14:paraId="72BD4806" w14:textId="4E37F0B4" w:rsidR="00611F50" w:rsidRPr="00E467B0" w:rsidRDefault="00611F50" w:rsidP="00F30B86">
            <w:pPr>
              <w:pStyle w:val="TableText"/>
              <w:keepNext/>
              <w:keepLines/>
            </w:pPr>
            <w:r w:rsidRPr="002B2EDA">
              <w:rPr>
                <w:rFonts w:ascii="Century Gothic" w:hAnsi="Century Gothic" w:cstheme="minorHAnsi"/>
                <w:bCs/>
              </w:rPr>
              <w:t>Expected groundwater salinity</w:t>
            </w:r>
            <w:r w:rsidR="000C1B98">
              <w:rPr>
                <w:rStyle w:val="FootnoteReference"/>
                <w:bCs/>
              </w:rPr>
              <w:footnoteReference w:id="2"/>
            </w:r>
            <w:r w:rsidRPr="002B2EDA">
              <w:rPr>
                <w:rFonts w:ascii="Century Gothic" w:hAnsi="Century Gothic" w:cstheme="minorHAnsi"/>
                <w:bCs/>
              </w:rPr>
              <w:t xml:space="preserve"> (range) </w:t>
            </w:r>
          </w:p>
        </w:tc>
        <w:tc>
          <w:tcPr>
            <w:tcW w:w="1082" w:type="pct"/>
          </w:tcPr>
          <w:p w14:paraId="2E94A766" w14:textId="0F771C4B" w:rsidR="00611F50" w:rsidRPr="002B2EDA" w:rsidRDefault="00611F50" w:rsidP="00F30B86">
            <w:pPr>
              <w:pStyle w:val="TableText"/>
              <w:keepNext/>
              <w:keepLines/>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r w:rsidRPr="002B2EDA">
              <w:rPr>
                <w:rFonts w:ascii="Century Gothic" w:hAnsi="Century Gothic" w:cstheme="minorHAnsi"/>
              </w:rPr>
              <w:t>Across portion</w:t>
            </w:r>
            <w:r w:rsidR="004E4625">
              <w:rPr>
                <w:rFonts w:ascii="Century Gothic" w:hAnsi="Century Gothic" w:cstheme="minorHAnsi"/>
              </w:rPr>
              <w:t>s</w:t>
            </w:r>
            <w:r w:rsidRPr="002B2EDA">
              <w:rPr>
                <w:rFonts w:ascii="Century Gothic" w:hAnsi="Century Gothic" w:cstheme="minorHAnsi"/>
              </w:rPr>
              <w:t xml:space="preserve"> of</w:t>
            </w:r>
            <w:r w:rsidR="004E4625">
              <w:rPr>
                <w:rFonts w:ascii="Century Gothic" w:hAnsi="Century Gothic" w:cstheme="minorHAnsi"/>
              </w:rPr>
              <w:t xml:space="preserve"> the</w:t>
            </w:r>
            <w:r w:rsidRPr="002B2EDA">
              <w:rPr>
                <w:rFonts w:ascii="Century Gothic" w:hAnsi="Century Gothic" w:cstheme="minorHAnsi"/>
              </w:rPr>
              <w:t xml:space="preserve"> </w:t>
            </w:r>
            <w:r w:rsidR="004E4625">
              <w:rPr>
                <w:rFonts w:ascii="Century Gothic" w:hAnsi="Century Gothic" w:cstheme="minorHAnsi"/>
              </w:rPr>
              <w:t xml:space="preserve">western </w:t>
            </w:r>
            <w:r w:rsidRPr="002B2EDA">
              <w:rPr>
                <w:rFonts w:ascii="Century Gothic" w:hAnsi="Century Gothic" w:cstheme="minorHAnsi"/>
              </w:rPr>
              <w:t>study area: less than 600 to 3,100mg/L total dissolved solids</w:t>
            </w:r>
            <w:r>
              <w:rPr>
                <w:rFonts w:ascii="Century Gothic" w:hAnsi="Century Gothic" w:cstheme="minorHAnsi"/>
              </w:rPr>
              <w:t>.</w:t>
            </w:r>
          </w:p>
          <w:p w14:paraId="62811460" w14:textId="3DADCFDA" w:rsidR="00611F50" w:rsidRPr="00456A6D" w:rsidRDefault="004E4625" w:rsidP="00F30B86">
            <w:pPr>
              <w:pStyle w:val="TableText"/>
              <w:keepNext/>
              <w:keepLines/>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r>
              <w:rPr>
                <w:rFonts w:ascii="Century Gothic" w:hAnsi="Century Gothic" w:cstheme="minorHAnsi"/>
              </w:rPr>
              <w:t>At the n</w:t>
            </w:r>
            <w:r w:rsidR="00611F50" w:rsidRPr="002B2EDA">
              <w:rPr>
                <w:rFonts w:ascii="Century Gothic" w:hAnsi="Century Gothic" w:cstheme="minorHAnsi"/>
              </w:rPr>
              <w:t>ew 500kV terminal station near Bulgana</w:t>
            </w:r>
            <w:r w:rsidR="00D54DB7">
              <w:rPr>
                <w:rFonts w:ascii="Century Gothic" w:hAnsi="Century Gothic" w:cstheme="minorHAnsi"/>
              </w:rPr>
              <w:t xml:space="preserve">: </w:t>
            </w:r>
            <w:r w:rsidR="00611F50" w:rsidRPr="002B2EDA">
              <w:rPr>
                <w:rFonts w:ascii="Century Gothic" w:hAnsi="Century Gothic" w:cstheme="minorHAnsi"/>
              </w:rPr>
              <w:t>1,201 – 5,400mg/L total dissolved solids</w:t>
            </w:r>
            <w:r w:rsidR="00611F50">
              <w:rPr>
                <w:rFonts w:ascii="Century Gothic" w:hAnsi="Century Gothic" w:cstheme="minorHAnsi"/>
              </w:rPr>
              <w:t>.</w:t>
            </w:r>
          </w:p>
        </w:tc>
        <w:tc>
          <w:tcPr>
            <w:tcW w:w="1588" w:type="pct"/>
          </w:tcPr>
          <w:p w14:paraId="3549BA04" w14:textId="719C4014" w:rsidR="00611F50" w:rsidRPr="00456A6D" w:rsidRDefault="00611F50" w:rsidP="00F30B86">
            <w:pPr>
              <w:pStyle w:val="TableText"/>
              <w:keepNext/>
              <w:keepLines/>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r w:rsidRPr="002B2EDA">
              <w:rPr>
                <w:rFonts w:ascii="Century Gothic" w:hAnsi="Century Gothic" w:cstheme="minorHAnsi"/>
              </w:rPr>
              <w:t>Less than 600 to 3,100mg/L total dissolved solids</w:t>
            </w:r>
            <w:r w:rsidR="004E4625">
              <w:rPr>
                <w:rFonts w:ascii="Century Gothic" w:hAnsi="Century Gothic" w:cstheme="minorHAnsi"/>
              </w:rPr>
              <w:t xml:space="preserve"> across the central study area</w:t>
            </w:r>
            <w:r w:rsidRPr="002B2EDA">
              <w:rPr>
                <w:rFonts w:ascii="Century Gothic" w:hAnsi="Century Gothic" w:cstheme="minorHAnsi"/>
              </w:rPr>
              <w:t>.</w:t>
            </w:r>
          </w:p>
        </w:tc>
        <w:tc>
          <w:tcPr>
            <w:tcW w:w="1509" w:type="pct"/>
          </w:tcPr>
          <w:p w14:paraId="499B6049" w14:textId="5ABE98B6" w:rsidR="00611F50" w:rsidRPr="002B2EDA" w:rsidRDefault="00611F50" w:rsidP="00F30B86">
            <w:pPr>
              <w:pStyle w:val="TableText"/>
              <w:keepNext/>
              <w:keepLines/>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AE81A1E">
              <w:rPr>
                <w:rFonts w:ascii="Century Gothic" w:hAnsi="Century Gothic"/>
              </w:rPr>
              <w:t xml:space="preserve">Across </w:t>
            </w:r>
            <w:r w:rsidR="004E4625" w:rsidRPr="0AE81A1E">
              <w:rPr>
                <w:rFonts w:ascii="Century Gothic" w:hAnsi="Century Gothic"/>
              </w:rPr>
              <w:t xml:space="preserve">the eastern </w:t>
            </w:r>
            <w:r w:rsidRPr="0AE81A1E">
              <w:rPr>
                <w:rFonts w:ascii="Century Gothic" w:hAnsi="Century Gothic"/>
              </w:rPr>
              <w:t xml:space="preserve">portion of study area: </w:t>
            </w:r>
            <w:r w:rsidR="004E4625" w:rsidRPr="0AE81A1E">
              <w:rPr>
                <w:rFonts w:ascii="Century Gothic" w:hAnsi="Century Gothic"/>
              </w:rPr>
              <w:t>L</w:t>
            </w:r>
            <w:r w:rsidRPr="0AE81A1E">
              <w:rPr>
                <w:rFonts w:ascii="Century Gothic" w:hAnsi="Century Gothic"/>
              </w:rPr>
              <w:t>ess than 600mg/L total dissolved solids at western boundary and increasing moving east, where it is expected to be above 10,000mg/L total dissolved solids.</w:t>
            </w:r>
          </w:p>
          <w:p w14:paraId="68EDDC29" w14:textId="435E2931" w:rsidR="00611F50" w:rsidRPr="00456A6D" w:rsidRDefault="004E4625" w:rsidP="00F30B86">
            <w:pPr>
              <w:pStyle w:val="TableText"/>
              <w:keepNext/>
              <w:keepLines/>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r>
              <w:rPr>
                <w:rFonts w:ascii="Century Gothic" w:hAnsi="Century Gothic" w:cstheme="minorHAnsi"/>
              </w:rPr>
              <w:t xml:space="preserve">At the </w:t>
            </w:r>
            <w:r w:rsidR="00611F50" w:rsidRPr="002B2EDA">
              <w:rPr>
                <w:rFonts w:ascii="Century Gothic" w:hAnsi="Century Gothic" w:cstheme="minorHAnsi"/>
              </w:rPr>
              <w:t>Elaine Terminal Station</w:t>
            </w:r>
            <w:r>
              <w:rPr>
                <w:rFonts w:ascii="Century Gothic" w:hAnsi="Century Gothic" w:cstheme="minorHAnsi"/>
              </w:rPr>
              <w:t xml:space="preserve">: </w:t>
            </w:r>
            <w:r w:rsidR="00611F50" w:rsidRPr="002B2EDA">
              <w:rPr>
                <w:rFonts w:ascii="Century Gothic" w:hAnsi="Century Gothic" w:cstheme="minorHAnsi"/>
              </w:rPr>
              <w:t>3,100 – 5,400 mg/L total dissolved solids</w:t>
            </w:r>
            <w:r w:rsidR="00611F50">
              <w:rPr>
                <w:rFonts w:ascii="Century Gothic" w:hAnsi="Century Gothic" w:cstheme="minorHAnsi"/>
              </w:rPr>
              <w:t>.</w:t>
            </w:r>
          </w:p>
        </w:tc>
      </w:tr>
      <w:tr w:rsidR="00611F50" w14:paraId="3B4A186E" w14:textId="08240928" w:rsidTr="00E86AD0">
        <w:trPr>
          <w:cnfStyle w:val="000000010000" w:firstRow="0" w:lastRow="0" w:firstColumn="0" w:lastColumn="0" w:oddVBand="0" w:evenVBand="0" w:oddHBand="0" w:evenHBand="1"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821" w:type="pct"/>
          </w:tcPr>
          <w:p w14:paraId="0FE928F2" w14:textId="1D6F4C6C" w:rsidR="00611F50" w:rsidRPr="00E467B0" w:rsidRDefault="00611F50" w:rsidP="000059BF">
            <w:pPr>
              <w:pStyle w:val="TableText"/>
            </w:pPr>
            <w:r w:rsidRPr="002B2EDA">
              <w:rPr>
                <w:rFonts w:ascii="Century Gothic" w:hAnsi="Century Gothic" w:cstheme="minorHAnsi"/>
                <w:bCs/>
              </w:rPr>
              <w:t xml:space="preserve">Environmental values to be protected </w:t>
            </w:r>
          </w:p>
        </w:tc>
        <w:tc>
          <w:tcPr>
            <w:tcW w:w="1082" w:type="pct"/>
          </w:tcPr>
          <w:p w14:paraId="503DAC1D"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Water dependent ecosystems and species</w:t>
            </w:r>
          </w:p>
          <w:p w14:paraId="6900BF9B"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Potable mineral water supply</w:t>
            </w:r>
          </w:p>
          <w:p w14:paraId="5CC38CCD"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Agriculture and irrigation – irrigation</w:t>
            </w:r>
          </w:p>
          <w:p w14:paraId="54FD791A"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Agriculture and irrigation – stock watering</w:t>
            </w:r>
          </w:p>
          <w:p w14:paraId="1B1BB21D"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Industrial and commercial</w:t>
            </w:r>
          </w:p>
          <w:p w14:paraId="108CC9F2" w14:textId="140B7CBD"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Water based recreation</w:t>
            </w:r>
            <w:r w:rsidR="00450EC6">
              <w:t>:</w:t>
            </w:r>
            <w:r w:rsidRPr="002B2EDA">
              <w:t xml:space="preserve"> primary contact</w:t>
            </w:r>
          </w:p>
          <w:p w14:paraId="042C005D"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Traditional Owner cultural values</w:t>
            </w:r>
          </w:p>
          <w:p w14:paraId="43C76974" w14:textId="77777777" w:rsidR="00611F50" w:rsidRPr="00456A6D"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Buildings and structures</w:t>
            </w:r>
          </w:p>
          <w:p w14:paraId="7ED48D9F" w14:textId="190DDC41" w:rsidR="00611F50" w:rsidRPr="00E467B0"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Geothermal properties</w:t>
            </w:r>
            <w:r>
              <w:t>.</w:t>
            </w:r>
          </w:p>
        </w:tc>
        <w:tc>
          <w:tcPr>
            <w:tcW w:w="1588" w:type="pct"/>
          </w:tcPr>
          <w:p w14:paraId="38962EE5"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Water dependent ecosystems and species</w:t>
            </w:r>
          </w:p>
          <w:p w14:paraId="7491E79F" w14:textId="26989E66"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Potable water supply – desirable</w:t>
            </w:r>
            <w:r w:rsidR="00BA4D81">
              <w:rPr>
                <w:rStyle w:val="FootnoteReference"/>
                <w:bCs/>
              </w:rPr>
              <w:footnoteReference w:id="3"/>
            </w:r>
          </w:p>
          <w:p w14:paraId="1C6FB633" w14:textId="71CC2C3A" w:rsidR="00611F50" w:rsidRPr="002B2EDA" w:rsidRDefault="00611F50" w:rsidP="00242797">
            <w:pPr>
              <w:pStyle w:val="TableBullet"/>
              <w:cnfStyle w:val="000000010000" w:firstRow="0" w:lastRow="0" w:firstColumn="0" w:lastColumn="0" w:oddVBand="0" w:evenVBand="0" w:oddHBand="0" w:evenHBand="1" w:firstRowFirstColumn="0" w:firstRowLastColumn="0" w:lastRowFirstColumn="0" w:lastRowLastColumn="0"/>
            </w:pPr>
            <w:r w:rsidRPr="002B2EDA">
              <w:t>Potable water supply – acceptable</w:t>
            </w:r>
            <w:r w:rsidR="00242797">
              <w:rPr>
                <w:rStyle w:val="FootnoteReference"/>
                <w:bCs/>
              </w:rPr>
              <w:footnoteReference w:id="4"/>
            </w:r>
          </w:p>
          <w:p w14:paraId="04AD8AB0"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Potable mineral water supply</w:t>
            </w:r>
          </w:p>
          <w:p w14:paraId="10AE3258"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Agriculture and irrigation – irrigation</w:t>
            </w:r>
          </w:p>
          <w:p w14:paraId="05CE1A7C"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Agriculture and irrigation – stock watering</w:t>
            </w:r>
          </w:p>
          <w:p w14:paraId="4EDAC995"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Industrial and commercial</w:t>
            </w:r>
          </w:p>
          <w:p w14:paraId="3A743E5C"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Water based recreation – primary contact</w:t>
            </w:r>
          </w:p>
          <w:p w14:paraId="1889121C"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Traditional Owner cultural values</w:t>
            </w:r>
          </w:p>
          <w:p w14:paraId="7D07A779" w14:textId="77777777" w:rsidR="00611F50" w:rsidRPr="00456A6D"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Buildings and structures</w:t>
            </w:r>
          </w:p>
          <w:p w14:paraId="76D4FBD9" w14:textId="6C00FD70" w:rsidR="00611F50" w:rsidRPr="00E467B0"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Geothermal properties</w:t>
            </w:r>
            <w:r>
              <w:t>.</w:t>
            </w:r>
          </w:p>
        </w:tc>
        <w:tc>
          <w:tcPr>
            <w:tcW w:w="1509" w:type="pct"/>
          </w:tcPr>
          <w:p w14:paraId="69A4FE60"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Water dependent ecosystems and species</w:t>
            </w:r>
          </w:p>
          <w:p w14:paraId="79BF99F0"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Potable mineral water supply</w:t>
            </w:r>
          </w:p>
          <w:p w14:paraId="46819010"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Agriculture and irrigation – stock watering</w:t>
            </w:r>
          </w:p>
          <w:p w14:paraId="738083A9"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Industrial and commercial</w:t>
            </w:r>
          </w:p>
          <w:p w14:paraId="2447E009"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Water based recreation – primary contact</w:t>
            </w:r>
          </w:p>
          <w:p w14:paraId="746A73A3"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Traditional Owner cultural values</w:t>
            </w:r>
          </w:p>
          <w:p w14:paraId="32E32129"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Buildings and structures</w:t>
            </w:r>
          </w:p>
          <w:p w14:paraId="4E7BFFEE" w14:textId="77777777" w:rsidR="00611F50" w:rsidRPr="002B2EDA" w:rsidRDefault="00611F50" w:rsidP="000059BF">
            <w:pPr>
              <w:pStyle w:val="TableBullet"/>
              <w:cnfStyle w:val="000000010000" w:firstRow="0" w:lastRow="0" w:firstColumn="0" w:lastColumn="0" w:oddVBand="0" w:evenVBand="0" w:oddHBand="0" w:evenHBand="1" w:firstRowFirstColumn="0" w:firstRowLastColumn="0" w:lastRowFirstColumn="0" w:lastRowLastColumn="0"/>
            </w:pPr>
            <w:r w:rsidRPr="002B2EDA">
              <w:t>Geothermal properties.</w:t>
            </w:r>
          </w:p>
          <w:p w14:paraId="69800B76" w14:textId="77777777" w:rsidR="00611F50" w:rsidRPr="00E467B0" w:rsidRDefault="00611F50" w:rsidP="000059BF">
            <w:pPr>
              <w:pStyle w:val="TableBullet"/>
              <w:numPr>
                <w:ilvl w:val="0"/>
                <w:numId w:val="0"/>
              </w:numPr>
              <w:ind w:left="284"/>
              <w:cnfStyle w:val="000000010000" w:firstRow="0" w:lastRow="0" w:firstColumn="0" w:lastColumn="0" w:oddVBand="0" w:evenVBand="0" w:oddHBand="0" w:evenHBand="1" w:firstRowFirstColumn="0" w:firstRowLastColumn="0" w:lastRowFirstColumn="0" w:lastRowLastColumn="0"/>
            </w:pPr>
          </w:p>
        </w:tc>
      </w:tr>
      <w:tr w:rsidR="00611F50" w14:paraId="14F16373" w14:textId="70449617" w:rsidTr="00E86AD0">
        <w:trPr>
          <w:cantSplit/>
          <w:trHeight w:val="613"/>
        </w:trPr>
        <w:tc>
          <w:tcPr>
            <w:cnfStyle w:val="001000000000" w:firstRow="0" w:lastRow="0" w:firstColumn="1" w:lastColumn="0" w:oddVBand="0" w:evenVBand="0" w:oddHBand="0" w:evenHBand="0" w:firstRowFirstColumn="0" w:firstRowLastColumn="0" w:lastRowFirstColumn="0" w:lastRowLastColumn="0"/>
            <w:tcW w:w="821" w:type="pct"/>
          </w:tcPr>
          <w:p w14:paraId="2497FD9E" w14:textId="1B17F65A" w:rsidR="00611F50" w:rsidRPr="00E467B0" w:rsidRDefault="00611F50" w:rsidP="000059BF">
            <w:pPr>
              <w:pStyle w:val="TableText"/>
            </w:pPr>
            <w:r w:rsidRPr="0AE81A1E">
              <w:rPr>
                <w:rFonts w:ascii="Century Gothic" w:hAnsi="Century Gothic"/>
              </w:rPr>
              <w:t xml:space="preserve">Acid </w:t>
            </w:r>
            <w:r w:rsidR="002E3729" w:rsidRPr="0AE81A1E">
              <w:rPr>
                <w:rFonts w:ascii="Century Gothic" w:hAnsi="Century Gothic"/>
              </w:rPr>
              <w:t>s</w:t>
            </w:r>
            <w:r w:rsidRPr="0AE81A1E">
              <w:rPr>
                <w:rFonts w:ascii="Century Gothic" w:hAnsi="Century Gothic"/>
              </w:rPr>
              <w:t xml:space="preserve">ulfate </w:t>
            </w:r>
            <w:r w:rsidR="002E3729" w:rsidRPr="0AE81A1E">
              <w:rPr>
                <w:rFonts w:ascii="Century Gothic" w:hAnsi="Century Gothic"/>
              </w:rPr>
              <w:t>s</w:t>
            </w:r>
            <w:r w:rsidRPr="0AE81A1E">
              <w:rPr>
                <w:rFonts w:ascii="Century Gothic" w:hAnsi="Century Gothic"/>
              </w:rPr>
              <w:t>oil potential</w:t>
            </w:r>
          </w:p>
        </w:tc>
        <w:tc>
          <w:tcPr>
            <w:tcW w:w="1082" w:type="pct"/>
          </w:tcPr>
          <w:p w14:paraId="75E95F13" w14:textId="7E71BB59" w:rsidR="00611F50" w:rsidRPr="00456A6D" w:rsidRDefault="00611F50" w:rsidP="0AE81A1E">
            <w:pPr>
              <w:pStyle w:val="TableText"/>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AE81A1E">
              <w:rPr>
                <w:rFonts w:ascii="Century Gothic" w:hAnsi="Century Gothic"/>
              </w:rPr>
              <w:t>Low to extremely low</w:t>
            </w:r>
            <w:r w:rsidR="004E4625" w:rsidRPr="0AE81A1E">
              <w:rPr>
                <w:rFonts w:ascii="Century Gothic" w:hAnsi="Century Gothic"/>
              </w:rPr>
              <w:t xml:space="preserve"> </w:t>
            </w:r>
            <w:r w:rsidRPr="0AE81A1E">
              <w:rPr>
                <w:rFonts w:ascii="Century Gothic" w:hAnsi="Century Gothic"/>
              </w:rPr>
              <w:t xml:space="preserve">probability of </w:t>
            </w:r>
            <w:r w:rsidR="004E4625" w:rsidRPr="0AE81A1E">
              <w:rPr>
                <w:rFonts w:ascii="Century Gothic" w:hAnsi="Century Gothic"/>
              </w:rPr>
              <w:t xml:space="preserve">acid sulfate soils </w:t>
            </w:r>
            <w:r w:rsidRPr="0AE81A1E">
              <w:rPr>
                <w:rFonts w:ascii="Century Gothic" w:hAnsi="Century Gothic"/>
              </w:rPr>
              <w:t>occurrence</w:t>
            </w:r>
            <w:r w:rsidR="004E4625" w:rsidRPr="0AE81A1E">
              <w:rPr>
                <w:rFonts w:ascii="Century Gothic" w:hAnsi="Century Gothic"/>
              </w:rPr>
              <w:t xml:space="preserve"> in the western study area</w:t>
            </w:r>
          </w:p>
        </w:tc>
        <w:tc>
          <w:tcPr>
            <w:tcW w:w="1588" w:type="pct"/>
          </w:tcPr>
          <w:p w14:paraId="3FE991A1" w14:textId="6ED8457C" w:rsidR="00611F50" w:rsidRPr="002B2EDA" w:rsidRDefault="00611F50" w:rsidP="0AE81A1E">
            <w:pPr>
              <w:pStyle w:val="TableText"/>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AE81A1E">
              <w:rPr>
                <w:rFonts w:ascii="Century Gothic" w:hAnsi="Century Gothic"/>
              </w:rPr>
              <w:t xml:space="preserve">Most of the </w:t>
            </w:r>
            <w:r w:rsidR="004E4625" w:rsidRPr="0AE81A1E">
              <w:rPr>
                <w:rFonts w:ascii="Century Gothic" w:hAnsi="Century Gothic"/>
              </w:rPr>
              <w:t xml:space="preserve">central </w:t>
            </w:r>
            <w:r w:rsidRPr="0AE81A1E">
              <w:rPr>
                <w:rFonts w:ascii="Century Gothic" w:hAnsi="Century Gothic"/>
              </w:rPr>
              <w:t xml:space="preserve">area has low potential of </w:t>
            </w:r>
            <w:r w:rsidR="004E4625" w:rsidRPr="0AE81A1E">
              <w:rPr>
                <w:rFonts w:ascii="Century Gothic" w:hAnsi="Century Gothic"/>
              </w:rPr>
              <w:t xml:space="preserve">acid sulfate soils </w:t>
            </w:r>
            <w:r w:rsidRPr="0AE81A1E">
              <w:rPr>
                <w:rFonts w:ascii="Century Gothic" w:hAnsi="Century Gothic"/>
              </w:rPr>
              <w:t>low.</w:t>
            </w:r>
          </w:p>
          <w:p w14:paraId="0CF74259" w14:textId="7E8493D8" w:rsidR="00611F50" w:rsidRPr="00456A6D" w:rsidRDefault="00611F50" w:rsidP="0AE81A1E">
            <w:pPr>
              <w:pStyle w:val="TableText"/>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AE81A1E">
              <w:rPr>
                <w:rFonts w:ascii="Century Gothic" w:hAnsi="Century Gothic"/>
              </w:rPr>
              <w:t>Some isolated areas of high probability of occurrence have been identified surrounding established water bodies (e.g., reservoirs and wetlands), including Dean Reservoir, Hepburn Lagoon and Moorabool Reservoir.</w:t>
            </w:r>
          </w:p>
        </w:tc>
        <w:tc>
          <w:tcPr>
            <w:tcW w:w="1509" w:type="pct"/>
          </w:tcPr>
          <w:p w14:paraId="63822849" w14:textId="77777777" w:rsidR="004E4625" w:rsidRDefault="00611F50" w:rsidP="0AE81A1E">
            <w:pPr>
              <w:pStyle w:val="TableText"/>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AE81A1E">
              <w:rPr>
                <w:rFonts w:ascii="Century Gothic" w:hAnsi="Century Gothic"/>
              </w:rPr>
              <w:t xml:space="preserve">Most of the </w:t>
            </w:r>
            <w:r w:rsidR="004E4625" w:rsidRPr="0AE81A1E">
              <w:rPr>
                <w:rFonts w:ascii="Century Gothic" w:hAnsi="Century Gothic"/>
              </w:rPr>
              <w:t xml:space="preserve">eastern study </w:t>
            </w:r>
            <w:r w:rsidRPr="0AE81A1E">
              <w:rPr>
                <w:rFonts w:ascii="Century Gothic" w:hAnsi="Century Gothic"/>
              </w:rPr>
              <w:t xml:space="preserve">area has low to extremely low potential for </w:t>
            </w:r>
            <w:r w:rsidR="004E4625" w:rsidRPr="0AE81A1E">
              <w:rPr>
                <w:rFonts w:ascii="Century Gothic" w:hAnsi="Century Gothic"/>
              </w:rPr>
              <w:t>acid sulfate soils</w:t>
            </w:r>
            <w:r w:rsidRPr="0AE81A1E">
              <w:rPr>
                <w:rFonts w:ascii="Century Gothic" w:hAnsi="Century Gothic"/>
              </w:rPr>
              <w:t>.</w:t>
            </w:r>
          </w:p>
          <w:p w14:paraId="123EE399" w14:textId="0F8A4465" w:rsidR="00611F50" w:rsidRPr="00456A6D" w:rsidRDefault="00611F50" w:rsidP="0AE81A1E">
            <w:pPr>
              <w:pStyle w:val="TableText"/>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AE81A1E">
              <w:rPr>
                <w:rFonts w:ascii="Century Gothic" w:hAnsi="Century Gothic"/>
              </w:rPr>
              <w:t>Some isolated areas of high probability of occurrence have been identified surrounding established water bodies (e.g., reservoirs and wetlands), including Pykes Creek Reservoir and Merrimu Reservoir.</w:t>
            </w:r>
          </w:p>
        </w:tc>
      </w:tr>
    </w:tbl>
    <w:p w14:paraId="4D184F04" w14:textId="19628A2A" w:rsidR="00C066A1" w:rsidRDefault="00304336" w:rsidP="00F30B86">
      <w:pPr>
        <w:pStyle w:val="Heading3"/>
        <w:spacing w:after="240"/>
      </w:pPr>
      <w:bookmarkStart w:id="18" w:name="_Ref182389694"/>
      <w:bookmarkStart w:id="19" w:name="_Toc201047260"/>
      <w:r>
        <w:lastRenderedPageBreak/>
        <w:t xml:space="preserve">Groundwater </w:t>
      </w:r>
      <w:r w:rsidR="00C066A1">
        <w:t>bores</w:t>
      </w:r>
      <w:bookmarkEnd w:id="18"/>
      <w:bookmarkEnd w:id="19"/>
    </w:p>
    <w:p w14:paraId="389C45E8" w14:textId="2DA17287" w:rsidR="00EF0FD5" w:rsidRDefault="00D263F0" w:rsidP="00F30B86">
      <w:pPr>
        <w:keepNext/>
        <w:keepLines/>
      </w:pPr>
      <w:r w:rsidRPr="0AE81A1E">
        <w:t>Within the study area, loca</w:t>
      </w:r>
      <w:r w:rsidR="00EA55CF" w:rsidRPr="0AE81A1E">
        <w:t xml:space="preserve">l groundwater users </w:t>
      </w:r>
      <w:r w:rsidRPr="0AE81A1E">
        <w:t xml:space="preserve">include 789 registered groundwater bores. </w:t>
      </w:r>
      <w:r w:rsidR="004034D7" w:rsidRPr="0AE81A1E">
        <w:t xml:space="preserve">Registered bores are typically used for </w:t>
      </w:r>
      <w:r w:rsidR="009C13ED" w:rsidRPr="0AE81A1E">
        <w:t xml:space="preserve">domestic and stock purposes, and do not require a licence if the extracted groundwater </w:t>
      </w:r>
      <w:r w:rsidR="00073670" w:rsidRPr="0AE81A1E">
        <w:t xml:space="preserve">is being used </w:t>
      </w:r>
      <w:r w:rsidR="00684DFF" w:rsidRPr="0AE81A1E">
        <w:t>solely</w:t>
      </w:r>
      <w:r w:rsidR="00073670" w:rsidRPr="0AE81A1E">
        <w:t xml:space="preserve"> for household needs, gardening, or watering livestock. </w:t>
      </w:r>
      <w:r w:rsidR="005D2C9E" w:rsidRPr="0AE81A1E">
        <w:rPr>
          <w:b/>
          <w:bCs/>
        </w:rPr>
        <w:t>Technical Report S: Groundwater Impact Assessment</w:t>
      </w:r>
      <w:r w:rsidR="005D2C9E" w:rsidRPr="0AE81A1E">
        <w:t xml:space="preserve"> </w:t>
      </w:r>
      <w:r w:rsidR="00FF5F2B" w:rsidRPr="0AE81A1E">
        <w:t>only considered registered bores; however, there may be unregistered bores or bores installed prior to accurate record keeping present in the study area.</w:t>
      </w:r>
    </w:p>
    <w:p w14:paraId="76D8D484" w14:textId="5CBBE16E" w:rsidR="004825D0" w:rsidRDefault="00073670" w:rsidP="004741D1">
      <w:r w:rsidRPr="0AE81A1E">
        <w:t>Of these, 120 are licenced groundwater bores</w:t>
      </w:r>
      <w:r w:rsidR="005D2C9E" w:rsidRPr="0AE81A1E">
        <w:t xml:space="preserve"> users</w:t>
      </w:r>
      <w:r w:rsidRPr="0AE81A1E">
        <w:t xml:space="preserve">. </w:t>
      </w:r>
      <w:r w:rsidR="0041051B" w:rsidRPr="0AE81A1E">
        <w:t>Licences are</w:t>
      </w:r>
      <w:r w:rsidR="00340AEB" w:rsidRPr="0AE81A1E">
        <w:t xml:space="preserve"> required for the extraction of groundwater for commercial, irrigation, or industrial </w:t>
      </w:r>
      <w:r w:rsidR="008050B2" w:rsidRPr="0AE81A1E">
        <w:t>purposes</w:t>
      </w:r>
      <w:r w:rsidR="0041051B" w:rsidRPr="0AE81A1E">
        <w:t xml:space="preserve">, and are managed by </w:t>
      </w:r>
      <w:r w:rsidR="001E753C" w:rsidRPr="0AE81A1E">
        <w:t>r</w:t>
      </w:r>
      <w:r w:rsidR="0041051B" w:rsidRPr="0AE81A1E">
        <w:t xml:space="preserve">ural </w:t>
      </w:r>
      <w:r w:rsidR="001E753C" w:rsidRPr="0AE81A1E">
        <w:t>w</w:t>
      </w:r>
      <w:r w:rsidR="0041051B" w:rsidRPr="0AE81A1E">
        <w:t xml:space="preserve">ater </w:t>
      </w:r>
      <w:r w:rsidR="001E753C" w:rsidRPr="0AE81A1E">
        <w:t>c</w:t>
      </w:r>
      <w:r w:rsidR="0041051B" w:rsidRPr="0AE81A1E">
        <w:t>orporations.</w:t>
      </w:r>
    </w:p>
    <w:p w14:paraId="5DB169D7" w14:textId="77777777" w:rsidR="00C066A1" w:rsidRDefault="00C066A1" w:rsidP="00E86AD0">
      <w:pPr>
        <w:pStyle w:val="Heading5"/>
      </w:pPr>
      <w:r w:rsidRPr="0AE81A1E">
        <w:t>Western portion of the study area</w:t>
      </w:r>
    </w:p>
    <w:p w14:paraId="7A6F95AD" w14:textId="3C4D442E" w:rsidR="00C066A1" w:rsidRDefault="00C066A1" w:rsidP="00B40C01">
      <w:r w:rsidRPr="0AE81A1E">
        <w:t>There are limited groundwater users in the western portion of the study area as aquifers</w:t>
      </w:r>
      <w:r w:rsidR="006B7450" w:rsidRPr="0AE81A1E">
        <w:t xml:space="preserve"> in this area</w:t>
      </w:r>
      <w:r w:rsidRPr="0AE81A1E">
        <w:t xml:space="preserve"> have low yield potential and relatively high salinity. Registered groundwater</w:t>
      </w:r>
      <w:r w:rsidR="00D04850" w:rsidRPr="0AE81A1E">
        <w:t xml:space="preserve"> bores are </w:t>
      </w:r>
      <w:r w:rsidRPr="0AE81A1E">
        <w:t xml:space="preserve">used for agricultural, commercial or industrial purposes, domestic and livestock needs, and groundwater observation. Some bores have an unknown use. There is only one licensed bore for extracting groundwater. </w:t>
      </w:r>
    </w:p>
    <w:p w14:paraId="7A364B8C" w14:textId="77777777" w:rsidR="00C066A1" w:rsidRDefault="00C066A1" w:rsidP="00E86AD0">
      <w:pPr>
        <w:pStyle w:val="Heading5"/>
      </w:pPr>
      <w:r w:rsidRPr="0AE81A1E">
        <w:t>Central portion of the study area</w:t>
      </w:r>
    </w:p>
    <w:p w14:paraId="61F22E38" w14:textId="77777777" w:rsidR="000F7B89" w:rsidRDefault="000F7B89" w:rsidP="00B40C01">
      <w:pPr>
        <w:keepNext/>
        <w:keepLines/>
      </w:pPr>
      <w:r w:rsidRPr="0AE81A1E">
        <w:t xml:space="preserve">In the central portion of the study area, groundwater is widely used for a range of purposes, particularly domestic and livestock needs. Bores mainly tap into the Newer Volcanics aquifer because it is shallow and has suitable potable (drinkable) quality. The Hepburn Shire includes several natural groundwater-sourced mineral springs of significant economic value (largely tourism). There are 106 licensed bores for extractive use. </w:t>
      </w:r>
    </w:p>
    <w:p w14:paraId="0FFD3006" w14:textId="77777777" w:rsidR="00C066A1" w:rsidRDefault="00C066A1" w:rsidP="00E86AD0">
      <w:pPr>
        <w:pStyle w:val="Heading5"/>
      </w:pPr>
      <w:r w:rsidRPr="0AE81A1E">
        <w:t>Eastern portion of the study area</w:t>
      </w:r>
    </w:p>
    <w:p w14:paraId="2B9DB62C" w14:textId="7211BF72" w:rsidR="000F7B89" w:rsidRDefault="000F7B89" w:rsidP="000F7B89">
      <w:r w:rsidRPr="0AE81A1E">
        <w:t xml:space="preserve">In the eastern portion of the study area, there are several registered groundwater bores used for agricultural, commercial or industrial purposes, domestic and livestock needs, and groundwater observation. There </w:t>
      </w:r>
      <w:r w:rsidR="00BB033E" w:rsidRPr="0AE81A1E">
        <w:t xml:space="preserve">are 13 </w:t>
      </w:r>
      <w:r w:rsidRPr="0AE81A1E">
        <w:t>licensed bore</w:t>
      </w:r>
      <w:r w:rsidR="00BB033E" w:rsidRPr="0AE81A1E">
        <w:t>s</w:t>
      </w:r>
      <w:r w:rsidRPr="0AE81A1E">
        <w:t xml:space="preserve"> for extracting groundwater. Groundwater is of poorer quality than along the central portion of the study area</w:t>
      </w:r>
      <w:r w:rsidR="00864A94" w:rsidRPr="0AE81A1E">
        <w:t xml:space="preserve">, and higher quality than along the </w:t>
      </w:r>
      <w:r w:rsidR="00D451F5" w:rsidRPr="0AE81A1E">
        <w:t>w</w:t>
      </w:r>
      <w:r w:rsidR="00864A94" w:rsidRPr="0AE81A1E">
        <w:t>estern portion of the study</w:t>
      </w:r>
      <w:r w:rsidR="00D2770B" w:rsidRPr="0AE81A1E">
        <w:t xml:space="preserve"> area</w:t>
      </w:r>
      <w:r w:rsidRPr="0AE81A1E">
        <w:t xml:space="preserve">. Community feedback during the Project consultation identified important groundwater use sites, including </w:t>
      </w:r>
      <w:r w:rsidR="001E753C" w:rsidRPr="0AE81A1E">
        <w:t xml:space="preserve">an </w:t>
      </w:r>
      <w:r w:rsidRPr="0AE81A1E">
        <w:t>extensive groundwater-fed irrigated potato industry near Newlyn.</w:t>
      </w:r>
    </w:p>
    <w:p w14:paraId="5FDB5299" w14:textId="77777777" w:rsidR="000C22FD" w:rsidRDefault="000C22FD" w:rsidP="00831583">
      <w:pPr>
        <w:pStyle w:val="Call-outboxHeadingwithicon"/>
        <w:framePr w:w="2734" w:h="4283" w:hRule="exact" w:hSpace="170" w:vSpace="170" w:wrap="around" w:hAnchor="page" w:x="7676" w:y="241"/>
      </w:pPr>
      <w:r>
        <w:t xml:space="preserve">      Groundwater Dependent Ecosystems (GDEs)</w:t>
      </w:r>
    </w:p>
    <w:p w14:paraId="7BFCA62C" w14:textId="77777777" w:rsidR="000C22FD" w:rsidRPr="0027344F" w:rsidRDefault="000C22FD" w:rsidP="00831583">
      <w:pPr>
        <w:pStyle w:val="Call-outbox0"/>
        <w:framePr w:w="2734" w:h="4283" w:hRule="exact" w:hSpace="170" w:vSpace="170" w:wrap="around" w:hAnchor="page" w:x="7676" w:y="241"/>
      </w:pPr>
      <w:r w:rsidRPr="0AE81A1E">
        <w:t>GDEs are natural ecosystems that require access to groundwater to meet all or some of their water requirements on a permanent or intermittent basis, to maintain their communities of plants and animals, ecosystem processes and ecosystem services</w:t>
      </w:r>
      <w:r w:rsidRPr="0AE81A1E">
        <w:rPr>
          <w:rStyle w:val="FootnoteReference"/>
          <w:sz w:val="18"/>
          <w:szCs w:val="18"/>
        </w:rPr>
        <w:footnoteReference w:id="5"/>
      </w:r>
      <w:r w:rsidRPr="0AE81A1E">
        <w:t xml:space="preserve">. </w:t>
      </w:r>
    </w:p>
    <w:p w14:paraId="6BA62AD6" w14:textId="14983AE8" w:rsidR="00304336" w:rsidRDefault="00605183" w:rsidP="0045702E">
      <w:pPr>
        <w:pStyle w:val="Heading3"/>
      </w:pPr>
      <w:bookmarkStart w:id="20" w:name="_Toc201047261"/>
      <w:r>
        <w:t>GDEs</w:t>
      </w:r>
      <w:bookmarkEnd w:id="20"/>
    </w:p>
    <w:p w14:paraId="0DC889FA" w14:textId="208F72B9" w:rsidR="00A663F0" w:rsidRDefault="008C12D5" w:rsidP="00FF5F2B">
      <w:r w:rsidRPr="0AE81A1E">
        <w:t>GDEs</w:t>
      </w:r>
      <w:r w:rsidR="001C00F7" w:rsidRPr="0AE81A1E">
        <w:t xml:space="preserve"> are supported </w:t>
      </w:r>
      <w:r w:rsidR="00A44EE0" w:rsidRPr="0AE81A1E">
        <w:t xml:space="preserve">by groundwater aquifers </w:t>
      </w:r>
      <w:r w:rsidR="001C00F7" w:rsidRPr="0AE81A1E">
        <w:t xml:space="preserve">in </w:t>
      </w:r>
      <w:r w:rsidR="00A44EE0" w:rsidRPr="0AE81A1E">
        <w:t xml:space="preserve">the western, central and eastern </w:t>
      </w:r>
      <w:r w:rsidR="001C00F7" w:rsidRPr="0AE81A1E">
        <w:t xml:space="preserve">portions of the </w:t>
      </w:r>
      <w:r w:rsidR="0059085E" w:rsidRPr="0AE81A1E">
        <w:t>Project</w:t>
      </w:r>
      <w:r w:rsidR="005B10B8" w:rsidRPr="0AE81A1E">
        <w:t xml:space="preserve">. </w:t>
      </w:r>
      <w:r w:rsidR="00A663F0" w:rsidRPr="0AE81A1E">
        <w:t>These include:</w:t>
      </w:r>
    </w:p>
    <w:p w14:paraId="52F2DC42" w14:textId="47D5C5E8" w:rsidR="00A663F0" w:rsidRDefault="00F33C09" w:rsidP="00A663F0">
      <w:pPr>
        <w:pStyle w:val="ListBullet"/>
      </w:pPr>
      <w:r>
        <w:t>Aquatic ecosystems (including w</w:t>
      </w:r>
      <w:r w:rsidR="00A663F0">
        <w:t>ater</w:t>
      </w:r>
      <w:r w:rsidR="00727DE8">
        <w:t>ways</w:t>
      </w:r>
      <w:r>
        <w:t>, wetlands, and springs)</w:t>
      </w:r>
    </w:p>
    <w:p w14:paraId="4EFD5D5C" w14:textId="17208A98" w:rsidR="00727DE8" w:rsidRDefault="00727DE8" w:rsidP="00A663F0">
      <w:pPr>
        <w:pStyle w:val="ListBullet"/>
      </w:pPr>
      <w:r w:rsidRPr="0AE81A1E">
        <w:t xml:space="preserve">Terrestrial </w:t>
      </w:r>
      <w:r w:rsidR="009F50F6" w:rsidRPr="0AE81A1E">
        <w:t xml:space="preserve">ecosystems </w:t>
      </w:r>
      <w:r w:rsidR="009511D0" w:rsidRPr="0AE81A1E">
        <w:t>(located on land)</w:t>
      </w:r>
    </w:p>
    <w:p w14:paraId="48C72289" w14:textId="45AB49A3" w:rsidR="00727DE8" w:rsidRDefault="00727DE8" w:rsidP="000059BF">
      <w:pPr>
        <w:pStyle w:val="ListBullet"/>
      </w:pPr>
      <w:r w:rsidRPr="0AE81A1E">
        <w:t xml:space="preserve">Subterranean </w:t>
      </w:r>
      <w:r w:rsidR="009F50F6" w:rsidRPr="0AE81A1E">
        <w:t>ecosystems</w:t>
      </w:r>
      <w:r w:rsidR="00410404" w:rsidRPr="0AE81A1E">
        <w:t xml:space="preserve"> (located below ground)</w:t>
      </w:r>
      <w:r w:rsidR="009D6E8F" w:rsidRPr="0AE81A1E">
        <w:t>.</w:t>
      </w:r>
    </w:p>
    <w:p w14:paraId="565AD745" w14:textId="7FC64CA1" w:rsidR="00D7321B" w:rsidRPr="0027344F" w:rsidRDefault="00D7321B" w:rsidP="0AE81A1E">
      <w:pPr>
        <w:rPr>
          <w:b/>
          <w:bCs/>
        </w:rPr>
      </w:pPr>
      <w:r w:rsidRPr="0AE81A1E">
        <w:t>Groundwater may sustain both aquatic and terrestrial biodiversity by supporting vegetation through deep root access, providing discharge to waterways as base flow or in some cases subterranean flow and providing important inflows to sustain wetlands.</w:t>
      </w:r>
      <w:r w:rsidR="00651636" w:rsidRPr="0AE81A1E">
        <w:t xml:space="preserve"> Subterranean ecosystems</w:t>
      </w:r>
      <w:r w:rsidR="00706061" w:rsidRPr="0AE81A1E">
        <w:t xml:space="preserve"> are typically located in caves or aquifers and</w:t>
      </w:r>
      <w:r w:rsidR="00B22330" w:rsidRPr="0AE81A1E">
        <w:t xml:space="preserve"> </w:t>
      </w:r>
      <w:r w:rsidR="00E66E62" w:rsidRPr="0AE81A1E">
        <w:t xml:space="preserve">can depend on groundwater to support unique </w:t>
      </w:r>
      <w:r w:rsidR="003B38F7" w:rsidRPr="0AE81A1E">
        <w:t xml:space="preserve">species of subterranean fauna (known as stygofauna). </w:t>
      </w:r>
      <w:r w:rsidR="00741529" w:rsidRPr="0AE81A1E">
        <w:t>The presence of these GDEs is described in further detail in the following sections.</w:t>
      </w:r>
    </w:p>
    <w:p w14:paraId="1CBDF3C3" w14:textId="51FA80B6" w:rsidR="00304336" w:rsidRDefault="00304336" w:rsidP="00E86AD0">
      <w:pPr>
        <w:pStyle w:val="Heading5"/>
      </w:pPr>
      <w:r w:rsidRPr="0AE81A1E">
        <w:lastRenderedPageBreak/>
        <w:t xml:space="preserve">Western </w:t>
      </w:r>
      <w:r w:rsidR="00072C66" w:rsidRPr="0AE81A1E">
        <w:t>portion</w:t>
      </w:r>
      <w:r w:rsidRPr="0AE81A1E">
        <w:t xml:space="preserve"> of the </w:t>
      </w:r>
      <w:r w:rsidR="00510C7E" w:rsidRPr="0AE81A1E">
        <w:t>study area</w:t>
      </w:r>
    </w:p>
    <w:p w14:paraId="0628776B" w14:textId="76C636D5" w:rsidR="004E4625" w:rsidRDefault="003F3766" w:rsidP="001225FB">
      <w:r w:rsidRPr="003F3766">
        <w:t xml:space="preserve">All major surface water features within </w:t>
      </w:r>
      <w:r w:rsidR="006B7450">
        <w:t>the</w:t>
      </w:r>
      <w:r w:rsidR="006B7450" w:rsidRPr="003F3766">
        <w:t xml:space="preserve"> </w:t>
      </w:r>
      <w:r w:rsidRPr="003F3766">
        <w:t>western section are classed as having a high or moderate potential for groundwater dependence</w:t>
      </w:r>
      <w:r>
        <w:t xml:space="preserve">. Waterways including the Wimmera River (in the vicinity of the new terminal station near Bulgana) and Glenlofty Creek in the Wimmera </w:t>
      </w:r>
      <w:r w:rsidR="00824950">
        <w:t>Catchment Management Authority (</w:t>
      </w:r>
      <w:r>
        <w:t>CMA</w:t>
      </w:r>
      <w:r w:rsidR="00824950">
        <w:t>)</w:t>
      </w:r>
      <w:r>
        <w:t xml:space="preserve">, and </w:t>
      </w:r>
      <w:r w:rsidRPr="003F3766">
        <w:t>Amphitheatre Creek</w:t>
      </w:r>
      <w:r>
        <w:t xml:space="preserve"> and</w:t>
      </w:r>
      <w:r w:rsidRPr="003F3766">
        <w:t xml:space="preserve"> Avoca River</w:t>
      </w:r>
      <w:r>
        <w:t xml:space="preserve"> in the North Central CMA</w:t>
      </w:r>
      <w:r w:rsidRPr="003F3766">
        <w:t xml:space="preserve"> </w:t>
      </w:r>
      <w:r>
        <w:t xml:space="preserve">are identified as having a high potential for groundwater dependence. </w:t>
      </w:r>
      <w:r w:rsidR="004E4625">
        <w:t xml:space="preserve">Community feedback during </w:t>
      </w:r>
      <w:r w:rsidR="000477CF">
        <w:t>P</w:t>
      </w:r>
      <w:r w:rsidR="004E4625">
        <w:t xml:space="preserve">roject consultation </w:t>
      </w:r>
      <w:r w:rsidR="00843657">
        <w:t xml:space="preserve">highlighted Glenlofty Creek </w:t>
      </w:r>
      <w:r>
        <w:t xml:space="preserve">also </w:t>
      </w:r>
      <w:r w:rsidR="00843657">
        <w:t>as a groundwater site of significance</w:t>
      </w:r>
      <w:r>
        <w:t>.</w:t>
      </w:r>
    </w:p>
    <w:p w14:paraId="5FE3DAD1" w14:textId="3A30EA77" w:rsidR="00304336" w:rsidRDefault="003F3766" w:rsidP="004E4625">
      <w:pPr>
        <w:pStyle w:val="ListBullet"/>
        <w:numPr>
          <w:ilvl w:val="0"/>
          <w:numId w:val="0"/>
        </w:numPr>
      </w:pPr>
      <w:r w:rsidRPr="0AE81A1E">
        <w:t xml:space="preserve">Vegetation along major waterways and scattered areas of vegetation is also recognised as having a high groundwater dependence. </w:t>
      </w:r>
      <w:r w:rsidR="004E4625" w:rsidRPr="0AE81A1E">
        <w:t xml:space="preserve">Shallow </w:t>
      </w:r>
      <w:r w:rsidR="009E05DD" w:rsidRPr="0AE81A1E">
        <w:t>watertable</w:t>
      </w:r>
      <w:r w:rsidR="004E4625" w:rsidRPr="0AE81A1E">
        <w:t>s (less than 5</w:t>
      </w:r>
      <w:r w:rsidR="0047412C" w:rsidRPr="0AE81A1E">
        <w:t>m</w:t>
      </w:r>
      <w:r w:rsidR="004E4625" w:rsidRPr="0AE81A1E">
        <w:t xml:space="preserve"> below </w:t>
      </w:r>
      <w:r w:rsidR="002E3729" w:rsidRPr="0AE81A1E">
        <w:t>surface</w:t>
      </w:r>
      <w:r w:rsidR="004E4625" w:rsidRPr="0AE81A1E">
        <w:t xml:space="preserve">) are mainly found along drainage lines and waterways, supporting </w:t>
      </w:r>
      <w:r w:rsidRPr="0AE81A1E">
        <w:t xml:space="preserve">these </w:t>
      </w:r>
      <w:r w:rsidR="004E4625" w:rsidRPr="0AE81A1E">
        <w:t>aquatic and terrestrial GDEs.</w:t>
      </w:r>
      <w:r w:rsidR="00BB033E" w:rsidRPr="0AE81A1E">
        <w:t xml:space="preserve"> Aquifers within the study area may </w:t>
      </w:r>
      <w:r w:rsidR="006B7450" w:rsidRPr="0AE81A1E">
        <w:t>support</w:t>
      </w:r>
      <w:r w:rsidR="00BB033E" w:rsidRPr="0AE81A1E">
        <w:t xml:space="preserve"> subterranean </w:t>
      </w:r>
      <w:r w:rsidR="006B7450" w:rsidRPr="0AE81A1E">
        <w:t xml:space="preserve">(subsurface) </w:t>
      </w:r>
      <w:r w:rsidR="00BB033E" w:rsidRPr="0AE81A1E">
        <w:t>GDEs.</w:t>
      </w:r>
    </w:p>
    <w:p w14:paraId="29DFA358" w14:textId="0C1CB16D" w:rsidR="00304336" w:rsidRDefault="00304336" w:rsidP="00E86AD0">
      <w:pPr>
        <w:pStyle w:val="Heading5"/>
      </w:pPr>
      <w:r w:rsidRPr="0AE81A1E">
        <w:t xml:space="preserve">Central </w:t>
      </w:r>
      <w:r w:rsidR="00072C66" w:rsidRPr="0AE81A1E">
        <w:t>portion</w:t>
      </w:r>
      <w:r w:rsidRPr="0AE81A1E">
        <w:t xml:space="preserve"> of the </w:t>
      </w:r>
      <w:r w:rsidR="00510C7E" w:rsidRPr="0AE81A1E">
        <w:t>study area</w:t>
      </w:r>
    </w:p>
    <w:p w14:paraId="05CB8E89" w14:textId="0F524FAD" w:rsidR="00510C7E" w:rsidRPr="00510C7E" w:rsidRDefault="00A44012" w:rsidP="00B40C01">
      <w:pPr>
        <w:keepNext/>
        <w:keepLines/>
      </w:pPr>
      <w:r w:rsidRPr="0AE81A1E">
        <w:t xml:space="preserve">Almost all major surface water features within the central section are classed as having a high or moderate potential for groundwater dependence. </w:t>
      </w:r>
      <w:r w:rsidR="004E4625" w:rsidRPr="0AE81A1E">
        <w:t>A</w:t>
      </w:r>
      <w:r w:rsidR="00611218" w:rsidRPr="0AE81A1E">
        <w:t xml:space="preserve"> number of a</w:t>
      </w:r>
      <w:r w:rsidR="008A3B3C" w:rsidRPr="0AE81A1E">
        <w:t xml:space="preserve">quatic and terrestrial </w:t>
      </w:r>
      <w:r w:rsidR="00611218" w:rsidRPr="0AE81A1E">
        <w:t xml:space="preserve">GDEs </w:t>
      </w:r>
      <w:r w:rsidR="004E4625" w:rsidRPr="0AE81A1E">
        <w:t xml:space="preserve">rely on the </w:t>
      </w:r>
      <w:r w:rsidR="008A3B3C" w:rsidRPr="0AE81A1E">
        <w:t>aquifers</w:t>
      </w:r>
      <w:r w:rsidR="004E4625" w:rsidRPr="0AE81A1E">
        <w:t xml:space="preserve"> in this area</w:t>
      </w:r>
      <w:r w:rsidR="008A3B3C" w:rsidRPr="0AE81A1E">
        <w:t xml:space="preserve">. </w:t>
      </w:r>
      <w:r w:rsidR="00801D9E" w:rsidRPr="0AE81A1E">
        <w:t xml:space="preserve">These include waterways </w:t>
      </w:r>
      <w:r w:rsidRPr="0AE81A1E">
        <w:t xml:space="preserve">including Birch Creek, Glendaruel Creek and Moorabool River West Branch, </w:t>
      </w:r>
      <w:r w:rsidR="00801D9E" w:rsidRPr="0AE81A1E">
        <w:t>and scattered areas of vegetation, with a high or moderate potential for groundwater dependence</w:t>
      </w:r>
      <w:r w:rsidR="00510C7E" w:rsidRPr="0AE81A1E">
        <w:t>.</w:t>
      </w:r>
      <w:r w:rsidR="00873E91" w:rsidRPr="0AE81A1E">
        <w:t xml:space="preserve"> Community feedback collected during consultation on the Project highlighted significant groundwater use sites in the study area such as Kilkenny Creek and Birch Creek, and these have been considered for their potential groundwater dependence.</w:t>
      </w:r>
      <w:r w:rsidR="00BB033E" w:rsidRPr="0AE81A1E">
        <w:t xml:space="preserve"> Aquifers within the study area may </w:t>
      </w:r>
      <w:r w:rsidR="00E31627" w:rsidRPr="0AE81A1E">
        <w:t>support</w:t>
      </w:r>
      <w:r w:rsidR="00BB033E" w:rsidRPr="0AE81A1E">
        <w:t xml:space="preserve"> subterranean GDEs.</w:t>
      </w:r>
    </w:p>
    <w:p w14:paraId="038A2EFB" w14:textId="59DFD188" w:rsidR="00304336" w:rsidRDefault="00304336" w:rsidP="00E86AD0">
      <w:pPr>
        <w:pStyle w:val="Heading5"/>
      </w:pPr>
      <w:r w:rsidRPr="0AE81A1E">
        <w:t xml:space="preserve">Eastern </w:t>
      </w:r>
      <w:r w:rsidR="00072C66" w:rsidRPr="0AE81A1E">
        <w:t>portion</w:t>
      </w:r>
      <w:r w:rsidRPr="0AE81A1E">
        <w:t xml:space="preserve"> of the </w:t>
      </w:r>
      <w:r w:rsidR="00510C7E" w:rsidRPr="0AE81A1E">
        <w:t>study area</w:t>
      </w:r>
    </w:p>
    <w:p w14:paraId="60306C30" w14:textId="72CA68E9" w:rsidR="00510C7E" w:rsidRPr="00510C7E" w:rsidRDefault="00A44012" w:rsidP="00A44012">
      <w:r w:rsidRPr="0AE81A1E">
        <w:t>All major surface water features within the eastern section are classed as having a high or moderate potential for groundwater dependence, with</w:t>
      </w:r>
      <w:r w:rsidR="008A3B3C" w:rsidRPr="0AE81A1E">
        <w:t xml:space="preserve"> several aquatic and terrestrial ecosystems that </w:t>
      </w:r>
      <w:r w:rsidR="004E4625" w:rsidRPr="0AE81A1E">
        <w:t>depend on groundwater</w:t>
      </w:r>
      <w:r w:rsidR="008A3B3C" w:rsidRPr="0AE81A1E">
        <w:t xml:space="preserve">. </w:t>
      </w:r>
      <w:r w:rsidRPr="0AE81A1E">
        <w:t xml:space="preserve">Waterways including Arnolds Creek East Branch, Djerriwarrh Creek, Kororoit Creek, Lerderderg River, Toolern Creek and Werribee River and a wetland in vicinity of the study area all have a high </w:t>
      </w:r>
      <w:r w:rsidR="00BB033E" w:rsidRPr="0AE81A1E">
        <w:t xml:space="preserve">potential for </w:t>
      </w:r>
      <w:r w:rsidRPr="0AE81A1E">
        <w:t xml:space="preserve">groundwater dependence. Vegetation along major waterways and scattered areas of vegetation </w:t>
      </w:r>
      <w:r w:rsidR="00F33616" w:rsidRPr="0AE81A1E">
        <w:t xml:space="preserve">are </w:t>
      </w:r>
      <w:r w:rsidRPr="0AE81A1E">
        <w:t>also recognised as having a high groundwater dependence.</w:t>
      </w:r>
      <w:r w:rsidR="00BB033E" w:rsidRPr="0AE81A1E">
        <w:t xml:space="preserve"> Aquifers within the study area may </w:t>
      </w:r>
      <w:r w:rsidR="006B7450" w:rsidRPr="0AE81A1E">
        <w:t>support</w:t>
      </w:r>
      <w:r w:rsidR="00BB033E" w:rsidRPr="0AE81A1E">
        <w:t xml:space="preserve"> subterranean GDEs.</w:t>
      </w:r>
    </w:p>
    <w:p w14:paraId="21CECA6C" w14:textId="7CE55D9D" w:rsidR="00D10D9C" w:rsidRDefault="00B008C5" w:rsidP="00FE4FB0">
      <w:pPr>
        <w:pStyle w:val="Heading2"/>
      </w:pPr>
      <w:bookmarkStart w:id="21" w:name="_Toc201047262"/>
      <w:r>
        <w:t>Construction impact</w:t>
      </w:r>
      <w:r w:rsidR="009A129C">
        <w:t>s</w:t>
      </w:r>
      <w:bookmarkEnd w:id="21"/>
    </w:p>
    <w:p w14:paraId="1653CFA8" w14:textId="3BC2EDD8" w:rsidR="00567CD3" w:rsidRDefault="00B008C5">
      <w:r w:rsidRPr="0AE81A1E">
        <w:t xml:space="preserve">This section outlines the key </w:t>
      </w:r>
      <w:r w:rsidR="00CF7B2A" w:rsidRPr="0AE81A1E">
        <w:t>issues</w:t>
      </w:r>
      <w:r w:rsidRPr="0AE81A1E">
        <w:t xml:space="preserve"> identified through the risk screening process and associated</w:t>
      </w:r>
      <w:r w:rsidR="00BB45F8">
        <w:t xml:space="preserve"> potential</w:t>
      </w:r>
      <w:r w:rsidRPr="0AE81A1E">
        <w:t xml:space="preserve"> impacts during the construction of the Project</w:t>
      </w:r>
      <w:r w:rsidR="000D5B78" w:rsidRPr="0AE81A1E">
        <w:t>.</w:t>
      </w:r>
      <w:r w:rsidR="00567CD3" w:rsidRPr="0AE81A1E">
        <w:t xml:space="preserve"> </w:t>
      </w:r>
      <w:r w:rsidR="004431BE" w:rsidRPr="0AE81A1E">
        <w:t xml:space="preserve">The key issues and impacts identified for </w:t>
      </w:r>
      <w:r w:rsidR="00567CD3" w:rsidRPr="0AE81A1E">
        <w:t>groundwater</w:t>
      </w:r>
      <w:r w:rsidR="004431BE" w:rsidRPr="0AE81A1E">
        <w:t xml:space="preserve"> </w:t>
      </w:r>
      <w:r w:rsidR="00567CD3" w:rsidRPr="0AE81A1E">
        <w:t xml:space="preserve">are </w:t>
      </w:r>
      <w:r w:rsidR="004431BE" w:rsidRPr="0AE81A1E">
        <w:t>discussed according to the following themes</w:t>
      </w:r>
      <w:r w:rsidR="00567CD3" w:rsidRPr="0AE81A1E">
        <w:t>:</w:t>
      </w:r>
    </w:p>
    <w:p w14:paraId="59F659DF" w14:textId="5239E873" w:rsidR="004F55EC" w:rsidRPr="003660CE" w:rsidRDefault="00567CD3" w:rsidP="00F54C50">
      <w:pPr>
        <w:pStyle w:val="ListBullet"/>
      </w:pPr>
      <w:r w:rsidRPr="0AE81A1E">
        <w:t>Groundwater levels, flow and recharge</w:t>
      </w:r>
      <w:r w:rsidR="004733F9" w:rsidRPr="0AE81A1E">
        <w:t>:</w:t>
      </w:r>
      <w:r w:rsidR="00CC43CB" w:rsidRPr="0AE81A1E">
        <w:t xml:space="preserve"> </w:t>
      </w:r>
      <w:bookmarkStart w:id="22" w:name="_Hlk182313216"/>
      <w:r w:rsidR="001249D1" w:rsidRPr="0AE81A1E">
        <w:t>dewatering</w:t>
      </w:r>
      <w:r w:rsidR="0044050E" w:rsidRPr="0AE81A1E">
        <w:t>, reduction in groundwater recharge rates, reduction in aquifer storage capacity, change in groundwater flow direction</w:t>
      </w:r>
      <w:r w:rsidR="0017175E" w:rsidRPr="0AE81A1E">
        <w:t xml:space="preserve"> and removal of vegetation</w:t>
      </w:r>
      <w:r w:rsidR="00A77E82">
        <w:t>.</w:t>
      </w:r>
    </w:p>
    <w:bookmarkEnd w:id="22"/>
    <w:p w14:paraId="3F38F9DC" w14:textId="0301DB3D" w:rsidR="00567CD3" w:rsidRPr="003660CE" w:rsidRDefault="00BE1F9C" w:rsidP="00567CD3">
      <w:pPr>
        <w:pStyle w:val="ListBullet"/>
      </w:pPr>
      <w:r>
        <w:t xml:space="preserve">Groundwater </w:t>
      </w:r>
      <w:r w:rsidR="00621732">
        <w:t>quality</w:t>
      </w:r>
      <w:r w:rsidR="00CC43CB">
        <w:t>: the potential for excavations below the watertable to create pathways for contaminants</w:t>
      </w:r>
      <w:r w:rsidR="00F634E4">
        <w:t xml:space="preserve"> </w:t>
      </w:r>
      <w:r w:rsidR="00CC43CB">
        <w:t xml:space="preserve">to enter groundwater, and contamination due to the </w:t>
      </w:r>
      <w:r w:rsidR="00376E1B">
        <w:t xml:space="preserve">storage and </w:t>
      </w:r>
      <w:r w:rsidR="00CC43CB">
        <w:t>hand</w:t>
      </w:r>
      <w:r w:rsidR="00F634E4">
        <w:t>l</w:t>
      </w:r>
      <w:r w:rsidR="00CC43CB">
        <w:t xml:space="preserve">ing of </w:t>
      </w:r>
      <w:r w:rsidR="00376E1B">
        <w:t xml:space="preserve">fuels, as well as </w:t>
      </w:r>
      <w:r w:rsidR="00CC43CB">
        <w:t>solid and liquid wastes</w:t>
      </w:r>
      <w:r w:rsidR="00A77E82">
        <w:t>.</w:t>
      </w:r>
    </w:p>
    <w:p w14:paraId="1DE8781D" w14:textId="6F9B911A" w:rsidR="00857147" w:rsidRDefault="00567CD3" w:rsidP="00567CD3">
      <w:pPr>
        <w:pStyle w:val="ListBullet"/>
      </w:pPr>
      <w:r>
        <w:t xml:space="preserve">Groundwater </w:t>
      </w:r>
      <w:r w:rsidR="004C5824">
        <w:t>bores</w:t>
      </w:r>
      <w:r w:rsidR="00CC43CB">
        <w:t>: the siting of transmission towers and other below ground works, which could result in physical impacts to groundwater bores</w:t>
      </w:r>
      <w:r w:rsidR="00A77E82">
        <w:t>.</w:t>
      </w:r>
    </w:p>
    <w:p w14:paraId="07D63C33" w14:textId="17F8435C" w:rsidR="00567CD3" w:rsidRDefault="008A3B3C" w:rsidP="00567CD3">
      <w:pPr>
        <w:pStyle w:val="ListBullet"/>
      </w:pPr>
      <w:r>
        <w:t>GDEs</w:t>
      </w:r>
      <w:r w:rsidR="00CC43CB">
        <w:t>: the siting of transmission towers and other below ground works, which could result in physical impacts to GDEs</w:t>
      </w:r>
      <w:r w:rsidR="00567CD3">
        <w:t>.</w:t>
      </w:r>
    </w:p>
    <w:p w14:paraId="68B2EC22" w14:textId="1976EDEA" w:rsidR="00B008C5" w:rsidRDefault="00567CD3" w:rsidP="0045702E">
      <w:pPr>
        <w:pStyle w:val="Heading3"/>
      </w:pPr>
      <w:bookmarkStart w:id="23" w:name="_Ref182377744"/>
      <w:bookmarkStart w:id="24" w:name="_Toc201047263"/>
      <w:r w:rsidRPr="0AE81A1E">
        <w:lastRenderedPageBreak/>
        <w:t>Groundwater levels, flow and recharge</w:t>
      </w:r>
      <w:bookmarkEnd w:id="23"/>
      <w:bookmarkEnd w:id="24"/>
    </w:p>
    <w:p w14:paraId="77149631" w14:textId="7AD3F254" w:rsidR="007045AC" w:rsidRDefault="009A40AB" w:rsidP="00F30B86">
      <w:pPr>
        <w:keepNext/>
        <w:keepLines/>
      </w:pPr>
      <w:r w:rsidRPr="0AE81A1E">
        <w:t xml:space="preserve">Changes to groundwater levels </w:t>
      </w:r>
      <w:r w:rsidR="001B2899" w:rsidRPr="0AE81A1E">
        <w:t xml:space="preserve">could arise </w:t>
      </w:r>
      <w:r w:rsidR="008B1BA8" w:rsidRPr="0AE81A1E">
        <w:t>due to construction</w:t>
      </w:r>
      <w:r w:rsidR="001B2899" w:rsidRPr="0AE81A1E">
        <w:t xml:space="preserve"> </w:t>
      </w:r>
      <w:r w:rsidR="00710AAE" w:rsidRPr="0AE81A1E">
        <w:t xml:space="preserve">activities associated with transmission tower </w:t>
      </w:r>
      <w:r w:rsidR="007A122F" w:rsidRPr="0AE81A1E">
        <w:t>foundations</w:t>
      </w:r>
      <w:r w:rsidR="00710AAE" w:rsidRPr="0AE81A1E">
        <w:t>, terminal station</w:t>
      </w:r>
      <w:r w:rsidR="008B1BA8" w:rsidRPr="0AE81A1E">
        <w:t>s</w:t>
      </w:r>
      <w:r w:rsidR="00C34AC1" w:rsidRPr="0AE81A1E">
        <w:t>, and the introduction of new impervious surfaces</w:t>
      </w:r>
      <w:r w:rsidR="004733F9" w:rsidRPr="0AE81A1E">
        <w:t xml:space="preserve"> and potentially lead to a temporary reduction in water accessibility to GDEs and nearby bores</w:t>
      </w:r>
      <w:r w:rsidR="00C34AC1" w:rsidRPr="0AE81A1E">
        <w:t xml:space="preserve">. </w:t>
      </w:r>
      <w:r w:rsidR="00250F78" w:rsidRPr="0AE81A1E">
        <w:t>I</w:t>
      </w:r>
      <w:r w:rsidR="004751C8" w:rsidRPr="0AE81A1E">
        <w:t xml:space="preserve">t is </w:t>
      </w:r>
      <w:r w:rsidR="00275FFB" w:rsidRPr="0AE81A1E">
        <w:t xml:space="preserve">likely that the Project will intersect groundwater at </w:t>
      </w:r>
      <w:r w:rsidR="00F83298" w:rsidRPr="0AE81A1E">
        <w:t>some</w:t>
      </w:r>
      <w:r w:rsidR="00275FFB" w:rsidRPr="0AE81A1E">
        <w:t xml:space="preserve"> transmission tower locations. However, it is </w:t>
      </w:r>
      <w:r w:rsidR="004751C8" w:rsidRPr="0AE81A1E">
        <w:t xml:space="preserve">unlikely that groundwater will be encountered </w:t>
      </w:r>
      <w:r w:rsidR="00275FFB" w:rsidRPr="0AE81A1E">
        <w:t xml:space="preserve">at terminal station locations </w:t>
      </w:r>
      <w:r w:rsidR="00765FA6" w:rsidRPr="0AE81A1E">
        <w:t>as the proposed construction method</w:t>
      </w:r>
      <w:r w:rsidR="00D13D2D" w:rsidRPr="0AE81A1E">
        <w:t xml:space="preserve"> and infrastructure requirements</w:t>
      </w:r>
      <w:r w:rsidR="00765FA6" w:rsidRPr="0AE81A1E">
        <w:t xml:space="preserve"> limit the potential to interact with groundwater</w:t>
      </w:r>
      <w:r w:rsidR="00250F78" w:rsidRPr="0AE81A1E">
        <w:t xml:space="preserve">. </w:t>
      </w:r>
    </w:p>
    <w:p w14:paraId="1CD729CE" w14:textId="37C524DA" w:rsidR="008F6F17" w:rsidRDefault="008B4972" w:rsidP="00567CD3">
      <w:r>
        <w:t>W</w:t>
      </w:r>
      <w:r w:rsidR="00567CD3" w:rsidRPr="00567CD3">
        <w:t xml:space="preserve">here groundwater is </w:t>
      </w:r>
      <w:r w:rsidR="004E4625">
        <w:t>found during construction</w:t>
      </w:r>
      <w:r w:rsidR="00082056">
        <w:t>,</w:t>
      </w:r>
      <w:r w:rsidR="00567CD3" w:rsidRPr="00567CD3">
        <w:t xml:space="preserve"> </w:t>
      </w:r>
      <w:r w:rsidR="00250F78">
        <w:t xml:space="preserve">such as </w:t>
      </w:r>
      <w:r w:rsidR="00AB3C2C">
        <w:t xml:space="preserve">the construction of tower </w:t>
      </w:r>
      <w:r w:rsidR="007A122F">
        <w:t>foundations</w:t>
      </w:r>
      <w:r w:rsidR="00B50AC3">
        <w:t xml:space="preserve">, </w:t>
      </w:r>
      <w:r w:rsidR="007045AC">
        <w:t xml:space="preserve">works </w:t>
      </w:r>
      <w:r w:rsidR="00A163A1">
        <w:t xml:space="preserve">will be undertaken in </w:t>
      </w:r>
      <w:r w:rsidR="00567CD3" w:rsidRPr="00567CD3">
        <w:t>‘wet’ conditions</w:t>
      </w:r>
      <w:r w:rsidR="004E4625">
        <w:t xml:space="preserve"> by pumping concrete into the </w:t>
      </w:r>
      <w:r w:rsidR="00567CD3" w:rsidRPr="00567CD3">
        <w:t>foundation</w:t>
      </w:r>
      <w:r w:rsidR="007F5F16">
        <w:t>s</w:t>
      </w:r>
      <w:r w:rsidR="00567CD3" w:rsidRPr="00567CD3">
        <w:t>. This may displace some groundwater</w:t>
      </w:r>
      <w:r w:rsidR="00344CCD">
        <w:t xml:space="preserve">; however, it </w:t>
      </w:r>
      <w:r w:rsidR="00E10AA0">
        <w:t xml:space="preserve">will allow </w:t>
      </w:r>
      <w:r w:rsidR="00567CD3" w:rsidRPr="00567CD3">
        <w:t xml:space="preserve">construction to occur without dewatering. </w:t>
      </w:r>
    </w:p>
    <w:p w14:paraId="0A072F91" w14:textId="121A5FA9" w:rsidR="0000635B" w:rsidRDefault="00B50AC3" w:rsidP="00B40C01">
      <w:pPr>
        <w:keepNext/>
        <w:keepLines/>
      </w:pPr>
      <w:r w:rsidRPr="0AE81A1E">
        <w:t xml:space="preserve">Across the </w:t>
      </w:r>
      <w:r w:rsidR="00AD7FBB" w:rsidRPr="0AE81A1E">
        <w:t>Project</w:t>
      </w:r>
      <w:r w:rsidRPr="0AE81A1E">
        <w:t>, t</w:t>
      </w:r>
      <w:r w:rsidR="00567CD3" w:rsidRPr="0AE81A1E">
        <w:t>here may</w:t>
      </w:r>
      <w:r w:rsidR="00CF37FE" w:rsidRPr="0AE81A1E">
        <w:t xml:space="preserve"> </w:t>
      </w:r>
      <w:r w:rsidR="00567CD3" w:rsidRPr="0AE81A1E">
        <w:t xml:space="preserve">be some locations </w:t>
      </w:r>
      <w:r w:rsidR="007F5F16" w:rsidRPr="0AE81A1E">
        <w:t xml:space="preserve">where dewatering may be required </w:t>
      </w:r>
      <w:r w:rsidR="00567CD3" w:rsidRPr="0AE81A1E">
        <w:t xml:space="preserve">for a short duration. </w:t>
      </w:r>
      <w:r w:rsidR="004E4625" w:rsidRPr="0AE81A1E">
        <w:t xml:space="preserve">This could temporarily lower the groundwater level, affecting </w:t>
      </w:r>
      <w:r w:rsidR="00567CD3" w:rsidRPr="0AE81A1E">
        <w:t>GDE</w:t>
      </w:r>
      <w:r w:rsidR="00E32917" w:rsidRPr="0AE81A1E">
        <w:t>s</w:t>
      </w:r>
      <w:r w:rsidR="00567CD3" w:rsidRPr="0AE81A1E">
        <w:t xml:space="preserve"> and sensitive groundwater users</w:t>
      </w:r>
      <w:r w:rsidR="00E32917" w:rsidRPr="0AE81A1E">
        <w:t xml:space="preserve"> where they are close to </w:t>
      </w:r>
      <w:r w:rsidR="00496EC5" w:rsidRPr="0AE81A1E">
        <w:t xml:space="preserve">a construction </w:t>
      </w:r>
      <w:r w:rsidR="00E32917" w:rsidRPr="0AE81A1E">
        <w:t>site</w:t>
      </w:r>
      <w:r w:rsidR="00567CD3" w:rsidRPr="0AE81A1E">
        <w:t xml:space="preserve">. </w:t>
      </w:r>
      <w:r w:rsidR="004E4625" w:rsidRPr="0AE81A1E">
        <w:t xml:space="preserve">However, if </w:t>
      </w:r>
      <w:r w:rsidR="00567CD3" w:rsidRPr="0AE81A1E">
        <w:t xml:space="preserve">dewatering is required, it </w:t>
      </w:r>
      <w:r w:rsidR="004E4625" w:rsidRPr="0AE81A1E">
        <w:t xml:space="preserve">will </w:t>
      </w:r>
      <w:r w:rsidR="00567CD3" w:rsidRPr="0AE81A1E">
        <w:t xml:space="preserve">likely be </w:t>
      </w:r>
      <w:r w:rsidR="004E4625" w:rsidRPr="0AE81A1E">
        <w:t xml:space="preserve">brief </w:t>
      </w:r>
      <w:r w:rsidR="00567CD3" w:rsidRPr="0AE81A1E">
        <w:t>(less than a day) at any location</w:t>
      </w:r>
      <w:r w:rsidR="00D851BE" w:rsidRPr="0AE81A1E">
        <w:t xml:space="preserve">. </w:t>
      </w:r>
      <w:r w:rsidR="00E07406" w:rsidRPr="0AE81A1E">
        <w:t>The Principal Contractor will be required to develop and implement a Groundwater Management Plan (EPR GW2) that sets out specific protocols</w:t>
      </w:r>
      <w:r w:rsidR="008771C7">
        <w:t xml:space="preserve"> to </w:t>
      </w:r>
      <w:r w:rsidR="002A6791">
        <w:t>minimise and manage</w:t>
      </w:r>
      <w:r w:rsidR="00B8216E">
        <w:t xml:space="preserve"> </w:t>
      </w:r>
      <w:r w:rsidR="008771C7">
        <w:t>impacts</w:t>
      </w:r>
      <w:r w:rsidR="00E07406" w:rsidRPr="0AE81A1E">
        <w:t xml:space="preserve"> </w:t>
      </w:r>
      <w:r w:rsidR="00FE6967">
        <w:t>associated with</w:t>
      </w:r>
      <w:r w:rsidR="00E07406" w:rsidRPr="0AE81A1E">
        <w:t xml:space="preserve"> dewatering should it be needed for excavations at tower assembly areas and terminal stations. </w:t>
      </w:r>
      <w:r w:rsidR="005A65DE" w:rsidRPr="0AE81A1E">
        <w:t xml:space="preserve">The protocols will incorporate measures to manage potential impacts on groundwater users and GDEs, address the </w:t>
      </w:r>
      <w:r w:rsidR="00846128" w:rsidRPr="0AE81A1E">
        <w:t xml:space="preserve">potential impact </w:t>
      </w:r>
      <w:r w:rsidR="005A65DE" w:rsidRPr="0AE81A1E">
        <w:t xml:space="preserve">of acid sulfate soil exposure, and prevent the mobilisation of known groundwater contaminants. </w:t>
      </w:r>
      <w:r w:rsidR="00BC2741">
        <w:t>The</w:t>
      </w:r>
      <w:r w:rsidR="00BC2741" w:rsidRPr="0AE81A1E">
        <w:t xml:space="preserve"> </w:t>
      </w:r>
      <w:r w:rsidR="00757340" w:rsidRPr="0AE81A1E">
        <w:t>application of these mitigation strategies</w:t>
      </w:r>
      <w:r w:rsidR="0038681A">
        <w:t xml:space="preserve"> will reduce the magnitude and duration of dewatering impacts, </w:t>
      </w:r>
      <w:r w:rsidR="00BC2741">
        <w:t xml:space="preserve">and </w:t>
      </w:r>
      <w:r w:rsidR="0038681A">
        <w:t>the</w:t>
      </w:r>
      <w:r w:rsidR="00757340" w:rsidRPr="0AE81A1E">
        <w:t xml:space="preserve"> residual </w:t>
      </w:r>
      <w:r w:rsidR="004751C8" w:rsidRPr="0AE81A1E">
        <w:t>impact</w:t>
      </w:r>
      <w:r w:rsidR="00757340" w:rsidRPr="0AE81A1E">
        <w:t>s</w:t>
      </w:r>
      <w:r w:rsidR="004751C8" w:rsidRPr="0AE81A1E">
        <w:t xml:space="preserve"> </w:t>
      </w:r>
      <w:r w:rsidR="0038681A">
        <w:t xml:space="preserve">will </w:t>
      </w:r>
      <w:r w:rsidR="00E32917" w:rsidRPr="0AE81A1E">
        <w:t xml:space="preserve">be </w:t>
      </w:r>
      <w:r w:rsidR="00567CD3" w:rsidRPr="0AE81A1E">
        <w:t>negligible.</w:t>
      </w:r>
      <w:r w:rsidR="00E07406" w:rsidRPr="0AE81A1E">
        <w:t xml:space="preserve"> Groundwater quality is discussed further in Section </w:t>
      </w:r>
      <w:r>
        <w:fldChar w:fldCharType="begin"/>
      </w:r>
      <w:r>
        <w:instrText xml:space="preserve"> REF _Ref182492521 \r \h </w:instrText>
      </w:r>
      <w:r>
        <w:fldChar w:fldCharType="separate"/>
      </w:r>
      <w:r w:rsidR="00D83237">
        <w:t>24.4.2</w:t>
      </w:r>
      <w:r>
        <w:fldChar w:fldCharType="end"/>
      </w:r>
      <w:r w:rsidR="00E07406" w:rsidRPr="0AE81A1E">
        <w:t>.</w:t>
      </w:r>
      <w:r w:rsidR="00B30A61" w:rsidRPr="0AE81A1E">
        <w:t xml:space="preserve"> </w:t>
      </w:r>
    </w:p>
    <w:p w14:paraId="1B452FC6" w14:textId="24AD7FFF" w:rsidR="008F6F17" w:rsidRDefault="008F6F17" w:rsidP="00567CD3">
      <w:r w:rsidRPr="0AE81A1E">
        <w:t>The Project may source water for use in construction from local sources, such as reservoirs or dams, in agreement with local stakeholders or landholders. It is not expected that groundwater will be extracted to facilitate construction of the Project. Additional water may be sourced from town supplies to support the needs of the workforce and workforce accommodation facilities.</w:t>
      </w:r>
    </w:p>
    <w:p w14:paraId="2C6FD4F0" w14:textId="39D08A4A" w:rsidR="004E4625" w:rsidRDefault="00783DB6" w:rsidP="00567CD3">
      <w:r w:rsidRPr="0AE81A1E">
        <w:t xml:space="preserve">The introduction of </w:t>
      </w:r>
      <w:r w:rsidR="005D2C9E" w:rsidRPr="0AE81A1E">
        <w:t>Project</w:t>
      </w:r>
      <w:r w:rsidR="0022119E" w:rsidRPr="0AE81A1E">
        <w:t xml:space="preserve"> infrastructure and </w:t>
      </w:r>
      <w:r w:rsidR="00F33616" w:rsidRPr="0AE81A1E">
        <w:t>hardstand (</w:t>
      </w:r>
      <w:r w:rsidR="004E4625" w:rsidRPr="0AE81A1E">
        <w:t>impervious</w:t>
      </w:r>
      <w:r w:rsidR="00F33616" w:rsidRPr="0AE81A1E">
        <w:t>)</w:t>
      </w:r>
      <w:r w:rsidR="004E4625" w:rsidRPr="0AE81A1E">
        <w:t xml:space="preserve"> surfaces could reduce </w:t>
      </w:r>
      <w:r w:rsidR="00E6648A" w:rsidRPr="0AE81A1E">
        <w:t>groundwater recharge</w:t>
      </w:r>
      <w:r w:rsidR="00DA18FC" w:rsidRPr="0AE81A1E">
        <w:t xml:space="preserve"> </w:t>
      </w:r>
      <w:r w:rsidR="00186CB2" w:rsidRPr="0AE81A1E">
        <w:t xml:space="preserve">and </w:t>
      </w:r>
      <w:r w:rsidR="00E6648A" w:rsidRPr="0AE81A1E">
        <w:t>compress underlying material</w:t>
      </w:r>
      <w:r w:rsidR="005D2C9E" w:rsidRPr="0AE81A1E">
        <w:t>,</w:t>
      </w:r>
      <w:r w:rsidR="00E6648A" w:rsidRPr="0AE81A1E">
        <w:t xml:space="preserve"> resulting in less aquifer storage capacity</w:t>
      </w:r>
      <w:r w:rsidR="00186CB2" w:rsidRPr="0AE81A1E">
        <w:t xml:space="preserve">. </w:t>
      </w:r>
      <w:r w:rsidR="00F17B8D" w:rsidRPr="0AE81A1E">
        <w:t>However,</w:t>
      </w:r>
      <w:r w:rsidR="004E4625" w:rsidRPr="0AE81A1E">
        <w:t xml:space="preserve"> the small area of these surfaces compared to the large regional aquifers means that any </w:t>
      </w:r>
      <w:r w:rsidR="0095725E" w:rsidRPr="0AE81A1E">
        <w:t xml:space="preserve">changes to the water level </w:t>
      </w:r>
      <w:r w:rsidR="00860309">
        <w:t>will</w:t>
      </w:r>
      <w:r w:rsidR="0095725E" w:rsidRPr="0AE81A1E">
        <w:t xml:space="preserve"> be minor, localised, and short-term</w:t>
      </w:r>
      <w:r w:rsidR="00BD7259" w:rsidRPr="0AE81A1E">
        <w:t xml:space="preserve"> as the </w:t>
      </w:r>
      <w:r w:rsidR="00B63C30" w:rsidRPr="0AE81A1E">
        <w:t xml:space="preserve">aquifer </w:t>
      </w:r>
      <w:r w:rsidR="008F210E" w:rsidRPr="0AE81A1E">
        <w:t>is expected to</w:t>
      </w:r>
      <w:r w:rsidR="00B63C30" w:rsidRPr="0AE81A1E">
        <w:t xml:space="preserve"> reach a new equilibrium. </w:t>
      </w:r>
      <w:r w:rsidR="005D2C9E" w:rsidRPr="0AE81A1E">
        <w:t>Similarly, any</w:t>
      </w:r>
      <w:r w:rsidR="00411663" w:rsidRPr="0AE81A1E">
        <w:t xml:space="preserve"> reductions to aquifer storage capacity are expected to be limited,</w:t>
      </w:r>
      <w:r w:rsidR="00D15C4F" w:rsidRPr="0AE81A1E">
        <w:t xml:space="preserve"> being either highly localised or within the natural variability of groundwater</w:t>
      </w:r>
      <w:r w:rsidR="00C73499" w:rsidRPr="0AE81A1E">
        <w:t>,</w:t>
      </w:r>
      <w:r w:rsidR="00D15C4F" w:rsidRPr="0AE81A1E">
        <w:t xml:space="preserve"> and </w:t>
      </w:r>
      <w:r w:rsidR="00825414" w:rsidRPr="0AE81A1E">
        <w:t>to stabilise within the construction timeframe</w:t>
      </w:r>
      <w:r w:rsidR="00C73499" w:rsidRPr="0AE81A1E">
        <w:t>.</w:t>
      </w:r>
      <w:r w:rsidR="00825414" w:rsidRPr="0AE81A1E">
        <w:t xml:space="preserve"> </w:t>
      </w:r>
      <w:r w:rsidR="005D2C9E" w:rsidRPr="0AE81A1E">
        <w:t>W</w:t>
      </w:r>
      <w:r w:rsidR="005E0F95" w:rsidRPr="0AE81A1E">
        <w:t xml:space="preserve">here Project infrastructure </w:t>
      </w:r>
      <w:r w:rsidR="005D2C9E" w:rsidRPr="0AE81A1E">
        <w:t>extends</w:t>
      </w:r>
      <w:r w:rsidR="005E0F95" w:rsidRPr="0AE81A1E">
        <w:t xml:space="preserve"> below the watertable, </w:t>
      </w:r>
      <w:r w:rsidR="002F281B" w:rsidRPr="0AE81A1E">
        <w:t xml:space="preserve">local groundwater flow </w:t>
      </w:r>
      <w:r w:rsidR="005D2C9E" w:rsidRPr="0AE81A1E">
        <w:t xml:space="preserve">and </w:t>
      </w:r>
      <w:r w:rsidR="002F281B" w:rsidRPr="0AE81A1E">
        <w:t>direction</w:t>
      </w:r>
      <w:r w:rsidR="005D2C9E" w:rsidRPr="0AE81A1E">
        <w:t xml:space="preserve"> may be impacted</w:t>
      </w:r>
      <w:r w:rsidR="005E0F95" w:rsidRPr="0AE81A1E">
        <w:t xml:space="preserve">. </w:t>
      </w:r>
      <w:r w:rsidR="005D2C9E" w:rsidRPr="0AE81A1E">
        <w:t>However, t</w:t>
      </w:r>
      <w:r w:rsidR="005E0F95" w:rsidRPr="0AE81A1E">
        <w:t>he</w:t>
      </w:r>
      <w:r w:rsidR="002F281B" w:rsidRPr="0AE81A1E">
        <w:t xml:space="preserve"> comparatively small scale </w:t>
      </w:r>
      <w:r w:rsidR="005E0F95" w:rsidRPr="0AE81A1E">
        <w:t xml:space="preserve">of the </w:t>
      </w:r>
      <w:r w:rsidR="00D97315" w:rsidRPr="0AE81A1E">
        <w:t xml:space="preserve">foundations </w:t>
      </w:r>
      <w:r w:rsidR="002F281B" w:rsidRPr="0AE81A1E">
        <w:t>relative to the scale of the individual aquifers</w:t>
      </w:r>
      <w:r w:rsidR="00D97315" w:rsidRPr="0AE81A1E">
        <w:t xml:space="preserve"> is unlikely to measurably impact </w:t>
      </w:r>
      <w:r w:rsidR="002F281B" w:rsidRPr="0AE81A1E">
        <w:t>the rate or direction of groundwater flow</w:t>
      </w:r>
      <w:r w:rsidR="00DF4ABF" w:rsidRPr="0AE81A1E">
        <w:t>. Based on this, the impacts are negligible</w:t>
      </w:r>
      <w:r w:rsidR="002865F7">
        <w:t>, and no specific mitigation is recommended</w:t>
      </w:r>
      <w:r w:rsidR="00DF4ABF" w:rsidRPr="0AE81A1E">
        <w:t xml:space="preserve">. </w:t>
      </w:r>
    </w:p>
    <w:p w14:paraId="7124DD09" w14:textId="69496AE1" w:rsidR="001C0A71" w:rsidRDefault="00692184" w:rsidP="00831583">
      <w:pPr>
        <w:pStyle w:val="Call-outboxHeadingwithicon"/>
        <w:framePr w:w="9004" w:h="3470" w:hRule="exact" w:hSpace="170" w:vSpace="170" w:wrap="around" w:hAnchor="page" w:x="1406" w:y="-2"/>
        <w:tabs>
          <w:tab w:val="clear" w:pos="3402"/>
        </w:tabs>
      </w:pPr>
      <w:r>
        <w:t xml:space="preserve">                                                                                                                                               </w:t>
      </w:r>
      <w:r w:rsidR="001C0A71">
        <w:t>What is groundwater recharge and aquifer storage?</w:t>
      </w:r>
    </w:p>
    <w:p w14:paraId="2E40A8EB" w14:textId="2D73E3F9" w:rsidR="001C0A71" w:rsidRDefault="00163FFF" w:rsidP="00831583">
      <w:pPr>
        <w:pStyle w:val="Call-outbox0"/>
        <w:framePr w:w="9004" w:h="3470" w:hRule="exact" w:hSpace="170" w:vSpace="170" w:wrap="around" w:hAnchor="page" w:x="1406" w:y="-2"/>
      </w:pPr>
      <w:r w:rsidRPr="0AE81A1E">
        <w:t xml:space="preserve">The </w:t>
      </w:r>
      <w:r w:rsidRPr="0AE81A1E">
        <w:rPr>
          <w:b/>
          <w:bCs/>
        </w:rPr>
        <w:t>recharge process</w:t>
      </w:r>
      <w:r w:rsidRPr="0AE81A1E">
        <w:t xml:space="preserve"> for aquifers relevant to the Project (alluvial/colluvial aquifers and bedrock aquifer) is through direct rainfall infiltration. </w:t>
      </w:r>
      <w:r w:rsidR="001C0A71" w:rsidRPr="0AE81A1E">
        <w:t xml:space="preserve">The physical presence of above ground infrastructure has the potential to </w:t>
      </w:r>
      <w:r w:rsidR="006A6DB6" w:rsidRPr="0AE81A1E">
        <w:t>reduce</w:t>
      </w:r>
      <w:r w:rsidR="001C0A71" w:rsidRPr="0AE81A1E">
        <w:t xml:space="preserve"> in rainfall </w:t>
      </w:r>
      <w:r w:rsidR="006A6DB6" w:rsidRPr="0AE81A1E">
        <w:t>infiltration</w:t>
      </w:r>
      <w:r w:rsidR="001C0A71" w:rsidRPr="0AE81A1E">
        <w:t xml:space="preserve"> to the aquifer</w:t>
      </w:r>
      <w:r w:rsidR="006A6DB6" w:rsidRPr="0AE81A1E">
        <w:t>. This reduction in recharge</w:t>
      </w:r>
      <w:r w:rsidR="001C0A71" w:rsidRPr="0AE81A1E">
        <w:t xml:space="preserve"> can result in a decline in groundwater level, </w:t>
      </w:r>
      <w:r w:rsidRPr="0AE81A1E">
        <w:t>impacting</w:t>
      </w:r>
      <w:r w:rsidR="001C0A71" w:rsidRPr="0AE81A1E">
        <w:t xml:space="preserve"> users and GDE health. </w:t>
      </w:r>
    </w:p>
    <w:p w14:paraId="019D0296" w14:textId="50C5B8A1" w:rsidR="001C0A71" w:rsidRDefault="001C0A71" w:rsidP="00831583">
      <w:pPr>
        <w:pStyle w:val="Call-outbox0"/>
        <w:framePr w:w="9004" w:h="3470" w:hRule="exact" w:hSpace="170" w:vSpace="170" w:wrap="around" w:hAnchor="page" w:x="1406" w:y="-2"/>
      </w:pPr>
      <w:r w:rsidRPr="0AE81A1E">
        <w:t xml:space="preserve">Above ground infrastructure can also cause compression of aquifers. This depends on the depth to watertable and whether the infrastructure is on consolidated or unconsolidated material. A reduction in </w:t>
      </w:r>
      <w:r w:rsidRPr="0AE81A1E">
        <w:rPr>
          <w:b/>
          <w:bCs/>
        </w:rPr>
        <w:t>aquifer storage capacity</w:t>
      </w:r>
      <w:r w:rsidRPr="0AE81A1E">
        <w:t xml:space="preserve"> raises the watertable, which can impact GDEs and existing groundwater users.</w:t>
      </w:r>
    </w:p>
    <w:p w14:paraId="21D42D19" w14:textId="630FF270" w:rsidR="000C58BB" w:rsidRDefault="005D2C9E" w:rsidP="00F30B86">
      <w:pPr>
        <w:keepNext/>
        <w:keepLines/>
      </w:pPr>
      <w:r>
        <w:lastRenderedPageBreak/>
        <w:t>V</w:t>
      </w:r>
      <w:r w:rsidR="00C132F1">
        <w:t xml:space="preserve">egetation </w:t>
      </w:r>
      <w:r>
        <w:t xml:space="preserve">removal may </w:t>
      </w:r>
      <w:r w:rsidR="00C132F1">
        <w:t xml:space="preserve">increase groundwater levels. </w:t>
      </w:r>
      <w:r w:rsidR="002E5C55">
        <w:t xml:space="preserve">To assess the potential for impact of vegetation removal on groundwater, the areas of planned vegetation removal noted in </w:t>
      </w:r>
      <w:r w:rsidR="002E5C55" w:rsidRPr="002E5C55">
        <w:rPr>
          <w:b/>
          <w:bCs/>
        </w:rPr>
        <w:t>Technical Report A: Biodiversity Impact Assessment</w:t>
      </w:r>
      <w:r w:rsidR="002E5C55">
        <w:t xml:space="preserve"> were reviewed to identify areas that met a set of criteria</w:t>
      </w:r>
      <w:r w:rsidR="000C58BB">
        <w:t xml:space="preserve"> including where </w:t>
      </w:r>
      <w:r w:rsidR="002E5C55">
        <w:t xml:space="preserve">removal is </w:t>
      </w:r>
      <w:r w:rsidR="006B7450">
        <w:t xml:space="preserve">greater than </w:t>
      </w:r>
      <w:r w:rsidR="002E5C55">
        <w:t>1</w:t>
      </w:r>
      <w:r w:rsidR="00F84EB8">
        <w:t>h</w:t>
      </w:r>
      <w:r w:rsidR="002E5C55">
        <w:t>a (10,000m</w:t>
      </w:r>
      <w:r w:rsidR="002E5C55" w:rsidRPr="0027344F">
        <w:rPr>
          <w:vertAlign w:val="superscript"/>
        </w:rPr>
        <w:t>2</w:t>
      </w:r>
      <w:r w:rsidR="002E5C55">
        <w:t>)</w:t>
      </w:r>
      <w:r w:rsidR="000C58BB">
        <w:t>; d</w:t>
      </w:r>
      <w:r w:rsidR="002E5C55">
        <w:t>ensely vegetated (rather than sparse trees)</w:t>
      </w:r>
      <w:r w:rsidR="000C58BB">
        <w:t>; e</w:t>
      </w:r>
      <w:r w:rsidR="002E5C55">
        <w:t xml:space="preserve">xpected depth to groundwater is </w:t>
      </w:r>
      <w:r w:rsidR="000C58BB">
        <w:t xml:space="preserve">less than </w:t>
      </w:r>
      <w:r w:rsidR="002E5C55">
        <w:t>10m</w:t>
      </w:r>
      <w:r w:rsidR="00A7411C">
        <w:t xml:space="preserve"> (overall)</w:t>
      </w:r>
      <w:r w:rsidR="002E5C55">
        <w:t xml:space="preserve"> and </w:t>
      </w:r>
      <w:r w:rsidR="000C58BB">
        <w:t xml:space="preserve">less than </w:t>
      </w:r>
      <w:r w:rsidR="002E5C55">
        <w:t>20m (areas of high permeability geology)</w:t>
      </w:r>
      <w:r w:rsidR="000C58BB">
        <w:t>; and where t</w:t>
      </w:r>
      <w:r w:rsidR="002E5C55">
        <w:t>he proportion of proposed vegetation removal with respect to the remaining adjacent vegetation is greater than 10</w:t>
      </w:r>
      <w:r w:rsidR="006B7450">
        <w:t xml:space="preserve"> per cent. </w:t>
      </w:r>
      <w:r w:rsidR="002E5C55">
        <w:t>Th</w:t>
      </w:r>
      <w:r w:rsidR="000C58BB">
        <w:t>ree</w:t>
      </w:r>
      <w:r w:rsidR="002E5C55">
        <w:t xml:space="preserve"> areas of vegetation removal</w:t>
      </w:r>
      <w:r w:rsidR="00864F57">
        <w:t xml:space="preserve">, shown in </w:t>
      </w:r>
      <w:r w:rsidR="00864F57">
        <w:fldChar w:fldCharType="begin"/>
      </w:r>
      <w:r w:rsidR="00864F57">
        <w:instrText xml:space="preserve"> REF _Ref182319499 \h </w:instrText>
      </w:r>
      <w:r w:rsidR="00864F57">
        <w:fldChar w:fldCharType="separate"/>
      </w:r>
      <w:r w:rsidR="00B42FF4" w:rsidRPr="003816C4">
        <w:t xml:space="preserve">Figure </w:t>
      </w:r>
      <w:r w:rsidR="00B42FF4" w:rsidRPr="00831583">
        <w:t>24</w:t>
      </w:r>
      <w:r w:rsidR="00B42FF4" w:rsidRPr="003816C4">
        <w:t>.</w:t>
      </w:r>
      <w:r w:rsidR="00B42FF4" w:rsidRPr="00831583">
        <w:t>2</w:t>
      </w:r>
      <w:r w:rsidR="00864F57">
        <w:fldChar w:fldCharType="end"/>
      </w:r>
      <w:r w:rsidR="00864F57">
        <w:t>,</w:t>
      </w:r>
      <w:r w:rsidR="002E5C55">
        <w:t xml:space="preserve"> met these criteria and have been assessed in terms of potential for groundwater impact:</w:t>
      </w:r>
    </w:p>
    <w:p w14:paraId="436D3255" w14:textId="283CB010" w:rsidR="000C58BB" w:rsidRDefault="000C58BB" w:rsidP="000C58BB">
      <w:pPr>
        <w:pStyle w:val="ListBullet"/>
      </w:pPr>
      <w:r w:rsidRPr="0AE81A1E">
        <w:t>Vegetation between</w:t>
      </w:r>
      <w:r w:rsidR="00DC1F91" w:rsidRPr="0AE81A1E">
        <w:t xml:space="preserve"> transmission</w:t>
      </w:r>
      <w:r w:rsidRPr="0AE81A1E">
        <w:t xml:space="preserve"> towers F6119DL and F6116DL, in vicinity to Mile Creek Road and Forest Road, Lexton (Western portion of the study area)</w:t>
      </w:r>
      <w:r w:rsidR="006B7424">
        <w:t>.</w:t>
      </w:r>
      <w:r w:rsidRPr="0AE81A1E">
        <w:t xml:space="preserve"> </w:t>
      </w:r>
    </w:p>
    <w:p w14:paraId="4F30B3FB" w14:textId="19C31410" w:rsidR="000C58BB" w:rsidRDefault="000C58BB" w:rsidP="000C58BB">
      <w:pPr>
        <w:pStyle w:val="ListBullet"/>
      </w:pPr>
      <w:r>
        <w:t>Vegetation between</w:t>
      </w:r>
      <w:r w:rsidR="00DC1F91" w:rsidRPr="00DC1F91">
        <w:t xml:space="preserve"> </w:t>
      </w:r>
      <w:r w:rsidR="00DC1F91">
        <w:t>transmission</w:t>
      </w:r>
      <w:r>
        <w:t xml:space="preserve"> towers F6260DL and F6259DL, south of Coutts Road, Waubra (Central Portion of the study area)</w:t>
      </w:r>
      <w:r w:rsidR="006B7424">
        <w:t>.</w:t>
      </w:r>
      <w:r>
        <w:t xml:space="preserve"> </w:t>
      </w:r>
    </w:p>
    <w:p w14:paraId="289E8136" w14:textId="1DE9E159" w:rsidR="000C58BB" w:rsidRDefault="000C58BB" w:rsidP="000C58BB">
      <w:pPr>
        <w:pStyle w:val="ListBullet"/>
      </w:pPr>
      <w:r w:rsidRPr="0AE81A1E">
        <w:t>Vegetation adjacent to</w:t>
      </w:r>
      <w:r w:rsidR="00DC1F91" w:rsidRPr="0AE81A1E">
        <w:t xml:space="preserve"> transmission</w:t>
      </w:r>
      <w:r w:rsidRPr="0AE81A1E">
        <w:t xml:space="preserve"> tower F4488DL in an area north of Wilson Reservoir.</w:t>
      </w:r>
    </w:p>
    <w:p w14:paraId="73986D43" w14:textId="6389A108" w:rsidR="000C58BB" w:rsidRPr="000C58BB" w:rsidRDefault="000C58BB" w:rsidP="00AC5C5C">
      <w:pPr>
        <w:pStyle w:val="ListBullet"/>
        <w:numPr>
          <w:ilvl w:val="0"/>
          <w:numId w:val="0"/>
        </w:numPr>
      </w:pPr>
      <w:r>
        <w:t>In each area</w:t>
      </w:r>
      <w:r w:rsidR="006C5D61">
        <w:t xml:space="preserve"> </w:t>
      </w:r>
      <w:r w:rsidR="00314246">
        <w:t>o</w:t>
      </w:r>
      <w:r w:rsidR="006C5D61">
        <w:t>f vegetation removal</w:t>
      </w:r>
      <w:r>
        <w:t>, t</w:t>
      </w:r>
      <w:r w:rsidRPr="000C58BB">
        <w:t>here is potential for groundwater levels to increase</w:t>
      </w:r>
      <w:r w:rsidR="006B7450">
        <w:t>;</w:t>
      </w:r>
      <w:r w:rsidRPr="000C58BB">
        <w:t xml:space="preserve"> however, given the wider area </w:t>
      </w:r>
      <w:r w:rsidR="006B7450">
        <w:t xml:space="preserve">has a </w:t>
      </w:r>
      <w:r w:rsidRPr="000C58BB">
        <w:t xml:space="preserve">depth to groundwater </w:t>
      </w:r>
      <w:r>
        <w:t>between 10 to</w:t>
      </w:r>
      <w:r w:rsidRPr="000C58BB">
        <w:t xml:space="preserve"> 20m below surface, and the controlling nature of adjacent watercourses, the overall significance of </w:t>
      </w:r>
      <w:r w:rsidR="00453232">
        <w:t xml:space="preserve">the </w:t>
      </w:r>
      <w:r w:rsidRPr="000C58BB">
        <w:t>impact</w:t>
      </w:r>
      <w:r w:rsidR="00161768">
        <w:t xml:space="preserve"> on groundwater level</w:t>
      </w:r>
      <w:r w:rsidRPr="000C58BB">
        <w:t xml:space="preserve"> is expected to be minor after </w:t>
      </w:r>
      <w:r w:rsidR="00DC54CB">
        <w:t xml:space="preserve">vegetation </w:t>
      </w:r>
      <w:r w:rsidRPr="000C58BB">
        <w:t>removal</w:t>
      </w:r>
      <w:r w:rsidR="00DC54CB">
        <w:t xml:space="preserve"> </w:t>
      </w:r>
      <w:r w:rsidR="006B7450">
        <w:t>is complete</w:t>
      </w:r>
      <w:r w:rsidRPr="000C58BB">
        <w:t>.</w:t>
      </w:r>
      <w:r w:rsidR="00DC54CB">
        <w:t xml:space="preserve"> </w:t>
      </w:r>
      <w:r w:rsidR="00DC54CB" w:rsidRPr="00DC54CB">
        <w:t>Overall, the expected impact from vegetation removal for the Project is minor</w:t>
      </w:r>
      <w:r w:rsidR="006B7450">
        <w:t>;</w:t>
      </w:r>
      <w:r w:rsidR="00DC54CB" w:rsidRPr="00DC54CB">
        <w:t xml:space="preserve"> however</w:t>
      </w:r>
      <w:r w:rsidR="006B7450">
        <w:t>,</w:t>
      </w:r>
      <w:r w:rsidR="00DC54CB" w:rsidRPr="00DC54CB">
        <w:t xml:space="preserve"> in practice the impact</w:t>
      </w:r>
      <w:r w:rsidR="0038681A">
        <w:t xml:space="preserve"> </w:t>
      </w:r>
      <w:r w:rsidR="00752629">
        <w:t>could be classed</w:t>
      </w:r>
      <w:r w:rsidR="00DC54CB" w:rsidRPr="00DC54CB">
        <w:t xml:space="preserve"> negligible given the impact on groundwater level would not be measurable using conventional methods of groundwater monitoring.</w:t>
      </w:r>
    </w:p>
    <w:p w14:paraId="604457AF" w14:textId="2FBD7E9D" w:rsidR="00864F57" w:rsidRDefault="000C5E63" w:rsidP="00960A92">
      <w:pPr>
        <w:sectPr w:rsidR="00864F57" w:rsidSect="000325A5">
          <w:headerReference w:type="even" r:id="rId30"/>
          <w:headerReference w:type="default" r:id="rId31"/>
          <w:footerReference w:type="even" r:id="rId32"/>
          <w:footerReference w:type="default" r:id="rId33"/>
          <w:headerReference w:type="first" r:id="rId34"/>
          <w:footerReference w:type="first" r:id="rId35"/>
          <w:pgSz w:w="11906" w:h="16838" w:code="9"/>
          <w:pgMar w:top="1418" w:right="1418" w:bottom="1418" w:left="1418" w:header="1134" w:footer="340" w:gutter="0"/>
          <w:pgNumType w:chapStyle="1"/>
          <w:cols w:space="284"/>
          <w:docGrid w:linePitch="360"/>
        </w:sectPr>
      </w:pPr>
      <w:r>
        <w:t>As such</w:t>
      </w:r>
      <w:r w:rsidR="00E917B9">
        <w:t xml:space="preserve">, the </w:t>
      </w:r>
      <w:r w:rsidR="0038681A">
        <w:t xml:space="preserve">residual </w:t>
      </w:r>
      <w:r w:rsidR="0022119E">
        <w:t>impacts to groundwater levels, flow direction and recharge</w:t>
      </w:r>
      <w:r w:rsidR="00991401">
        <w:t xml:space="preserve"> </w:t>
      </w:r>
      <w:r w:rsidR="00991401" w:rsidRPr="00991401">
        <w:t xml:space="preserve">are minor to negligible </w:t>
      </w:r>
      <w:r w:rsidR="0022119E">
        <w:t xml:space="preserve">for construction of the Project. </w:t>
      </w:r>
    </w:p>
    <w:p w14:paraId="58B81806" w14:textId="35BF39B5" w:rsidR="00864F57" w:rsidRDefault="00586170" w:rsidP="00960A92">
      <w:pPr>
        <w:sectPr w:rsidR="00864F57" w:rsidSect="000325A5">
          <w:headerReference w:type="even" r:id="rId36"/>
          <w:headerReference w:type="default" r:id="rId37"/>
          <w:footerReference w:type="even" r:id="rId38"/>
          <w:footerReference w:type="default" r:id="rId39"/>
          <w:headerReference w:type="first" r:id="rId40"/>
          <w:footerReference w:type="first" r:id="rId41"/>
          <w:pgSz w:w="16838" w:h="11906" w:orient="landscape" w:code="9"/>
          <w:pgMar w:top="1418" w:right="1418" w:bottom="1418" w:left="1418" w:header="1134" w:footer="340" w:gutter="0"/>
          <w:pgNumType w:chapStyle="1"/>
          <w:cols w:space="284"/>
          <w:docGrid w:linePitch="360"/>
        </w:sectPr>
      </w:pPr>
      <w:r>
        <w:rPr>
          <w:noProof/>
        </w:rPr>
        <w:lastRenderedPageBreak/>
        <mc:AlternateContent>
          <mc:Choice Requires="wps">
            <w:drawing>
              <wp:anchor distT="0" distB="0" distL="114300" distR="114300" simplePos="0" relativeHeight="251658243" behindDoc="0" locked="0" layoutInCell="1" allowOverlap="1" wp14:anchorId="6CDDE0A7" wp14:editId="6DFE5486">
                <wp:simplePos x="0" y="0"/>
                <wp:positionH relativeFrom="column">
                  <wp:posOffset>4498340</wp:posOffset>
                </wp:positionH>
                <wp:positionV relativeFrom="page">
                  <wp:posOffset>6696075</wp:posOffset>
                </wp:positionV>
                <wp:extent cx="4501515" cy="277200"/>
                <wp:effectExtent l="0" t="0" r="0" b="7620"/>
                <wp:wrapNone/>
                <wp:docPr id="233551865" name="Text Box 1"/>
                <wp:cNvGraphicFramePr/>
                <a:graphic xmlns:a="http://schemas.openxmlformats.org/drawingml/2006/main">
                  <a:graphicData uri="http://schemas.microsoft.com/office/word/2010/wordprocessingShape">
                    <wps:wsp>
                      <wps:cNvSpPr txBox="1"/>
                      <wps:spPr>
                        <a:xfrm>
                          <a:off x="0" y="0"/>
                          <a:ext cx="4501515" cy="277200"/>
                        </a:xfrm>
                        <a:prstGeom prst="rect">
                          <a:avLst/>
                        </a:prstGeom>
                        <a:solidFill>
                          <a:prstClr val="white"/>
                        </a:solidFill>
                        <a:ln>
                          <a:noFill/>
                        </a:ln>
                      </wps:spPr>
                      <wps:txbx>
                        <w:txbxContent>
                          <w:p w14:paraId="0C61D828" w14:textId="55378F62" w:rsidR="00864F57" w:rsidRPr="00831583" w:rsidRDefault="00864F57" w:rsidP="00F30B86">
                            <w:pPr>
                              <w:pStyle w:val="Caption"/>
                              <w:spacing w:before="0"/>
                            </w:pPr>
                            <w:bookmarkStart w:id="25" w:name="_Ref182319499"/>
                            <w:r w:rsidRPr="003816C4">
                              <w:t xml:space="preserve">Figure </w:t>
                            </w:r>
                            <w:r w:rsidRPr="003816C4">
                              <w:fldChar w:fldCharType="begin"/>
                            </w:r>
                            <w:r w:rsidRPr="003816C4">
                              <w:instrText>STYLEREF 1 \s</w:instrText>
                            </w:r>
                            <w:r w:rsidRPr="003816C4">
                              <w:fldChar w:fldCharType="separate"/>
                            </w:r>
                            <w:r w:rsidR="00D83237" w:rsidRPr="00831583">
                              <w:t>24</w:t>
                            </w:r>
                            <w:r w:rsidRPr="003816C4">
                              <w:fldChar w:fldCharType="end"/>
                            </w:r>
                            <w:r w:rsidR="00B8216E" w:rsidRPr="003816C4">
                              <w:t>.</w:t>
                            </w:r>
                            <w:r w:rsidRPr="003816C4">
                              <w:fldChar w:fldCharType="begin"/>
                            </w:r>
                            <w:r w:rsidRPr="003816C4">
                              <w:instrText>SEQ Figure \* ARABIC \s 1</w:instrText>
                            </w:r>
                            <w:r w:rsidRPr="003816C4">
                              <w:fldChar w:fldCharType="separate"/>
                            </w:r>
                            <w:r w:rsidR="00D83237" w:rsidRPr="00831583">
                              <w:t>2</w:t>
                            </w:r>
                            <w:r w:rsidRPr="003816C4">
                              <w:fldChar w:fldCharType="end"/>
                            </w:r>
                            <w:bookmarkEnd w:id="25"/>
                            <w:r w:rsidRPr="003816C4">
                              <w:t xml:space="preserve"> Areas of vegetation removal potentially impacting groundwater conditions </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DDE0A7" id="_x0000_s1027" type="#_x0000_t202" style="position:absolute;margin-left:354.2pt;margin-top:527.25pt;width:354.45pt;height:2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" stroked="f">
                <v:textbox style="mso-fit-shape-to-text:t" inset="2.5mm,2mm,2.5mm,2mm">
                  <w:txbxContent>
                    <w:p w14:paraId="0C61D828" w14:textId="55378F62" w:rsidR="00864F57" w:rsidRPr="00831583" w:rsidRDefault="00864F57" w:rsidP="00F30B86">
                      <w:pPr>
                        <w:pStyle w:val="Caption"/>
                        <w:spacing w:before="0"/>
                      </w:pPr>
                      <w:bookmarkStart w:id="26" w:name="_Ref182319499"/>
                      <w:r w:rsidRPr="003816C4">
                        <w:t xml:space="preserve">Figure </w:t>
                      </w:r>
                      <w:r w:rsidRPr="003816C4">
                        <w:fldChar w:fldCharType="begin"/>
                      </w:r>
                      <w:r w:rsidRPr="003816C4">
                        <w:instrText>STYLEREF 1 \s</w:instrText>
                      </w:r>
                      <w:r w:rsidRPr="003816C4">
                        <w:fldChar w:fldCharType="separate"/>
                      </w:r>
                      <w:r w:rsidR="00D83237" w:rsidRPr="00831583">
                        <w:t>24</w:t>
                      </w:r>
                      <w:r w:rsidRPr="003816C4">
                        <w:fldChar w:fldCharType="end"/>
                      </w:r>
                      <w:r w:rsidR="00B8216E" w:rsidRPr="003816C4">
                        <w:t>.</w:t>
                      </w:r>
                      <w:r w:rsidRPr="003816C4">
                        <w:fldChar w:fldCharType="begin"/>
                      </w:r>
                      <w:r w:rsidRPr="003816C4">
                        <w:instrText>SEQ Figure \* ARABIC \s 1</w:instrText>
                      </w:r>
                      <w:r w:rsidRPr="003816C4">
                        <w:fldChar w:fldCharType="separate"/>
                      </w:r>
                      <w:r w:rsidR="00D83237" w:rsidRPr="00831583">
                        <w:t>2</w:t>
                      </w:r>
                      <w:r w:rsidRPr="003816C4">
                        <w:fldChar w:fldCharType="end"/>
                      </w:r>
                      <w:bookmarkEnd w:id="26"/>
                      <w:r w:rsidRPr="003816C4">
                        <w:t xml:space="preserve"> Areas of vegetation removal potentially impacting groundwater conditions </w:t>
                      </w:r>
                    </w:p>
                  </w:txbxContent>
                </v:textbox>
                <w10:wrap anchory="page"/>
              </v:shape>
            </w:pict>
          </mc:Fallback>
        </mc:AlternateContent>
      </w:r>
      <w:r w:rsidR="000325A5">
        <w:rPr>
          <w:noProof/>
        </w:rPr>
        <w:drawing>
          <wp:anchor distT="0" distB="0" distL="114300" distR="114300" simplePos="0" relativeHeight="251658240" behindDoc="0" locked="0" layoutInCell="1" allowOverlap="1" wp14:anchorId="4223046D" wp14:editId="2824F8AC">
            <wp:simplePos x="0" y="0"/>
            <wp:positionH relativeFrom="margin">
              <wp:posOffset>-395605</wp:posOffset>
            </wp:positionH>
            <wp:positionV relativeFrom="page">
              <wp:posOffset>361950</wp:posOffset>
            </wp:positionV>
            <wp:extent cx="9467850" cy="6694170"/>
            <wp:effectExtent l="0" t="0" r="0" b="0"/>
            <wp:wrapSquare wrapText="bothSides"/>
            <wp:docPr id="204442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2080"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467850" cy="6694170"/>
                    </a:xfrm>
                    <a:prstGeom prst="rect">
                      <a:avLst/>
                    </a:prstGeom>
                  </pic:spPr>
                </pic:pic>
              </a:graphicData>
            </a:graphic>
            <wp14:sizeRelH relativeFrom="margin">
              <wp14:pctWidth>0</wp14:pctWidth>
            </wp14:sizeRelH>
            <wp14:sizeRelV relativeFrom="margin">
              <wp14:pctHeight>0</wp14:pctHeight>
            </wp14:sizeRelV>
          </wp:anchor>
        </w:drawing>
      </w:r>
    </w:p>
    <w:p w14:paraId="75C4EA82" w14:textId="32872DE8" w:rsidR="009E29F0" w:rsidRDefault="00B8216E" w:rsidP="00C37891">
      <w:pPr>
        <w:pStyle w:val="Call-outboxHeadingwithicon"/>
        <w:framePr w:w="2494" w:h="4246" w:hRule="exact" w:hSpace="170" w:vSpace="170" w:wrap="around" w:hAnchor="page" w:x="7914" w:y="10"/>
      </w:pPr>
      <w:r>
        <w:lastRenderedPageBreak/>
        <w:t xml:space="preserve"> </w:t>
      </w:r>
      <w:r w:rsidR="009E29F0">
        <w:t>Soil permeability</w:t>
      </w:r>
    </w:p>
    <w:p w14:paraId="1E6575F0" w14:textId="0B6EB101" w:rsidR="009E29F0" w:rsidRDefault="009E29F0" w:rsidP="00C37891">
      <w:pPr>
        <w:pStyle w:val="Call-outbox0"/>
        <w:framePr w:w="2494" w:h="4246" w:hRule="exact" w:hSpace="170" w:vSpace="170" w:wrap="around" w:hAnchor="page" w:x="7914" w:y="10"/>
      </w:pPr>
      <w:r w:rsidRPr="00560738">
        <w:t xml:space="preserve">Soil permeability refers to the ability of soil to allow water to pass through </w:t>
      </w:r>
      <w:r w:rsidR="00DD6480" w:rsidRPr="00560738">
        <w:t>it</w:t>
      </w:r>
      <w:r w:rsidR="00DD6480">
        <w:t xml:space="preserve"> and</w:t>
      </w:r>
      <w:r>
        <w:t xml:space="preserve"> is dependent on the</w:t>
      </w:r>
      <w:r w:rsidRPr="009E29F0">
        <w:t xml:space="preserve"> </w:t>
      </w:r>
      <w:r w:rsidRPr="00307ED6">
        <w:t>size of the soil particles and the spaces between them.</w:t>
      </w:r>
      <w:r w:rsidRPr="00560738">
        <w:t xml:space="preserve"> </w:t>
      </w:r>
    </w:p>
    <w:p w14:paraId="356A43A4" w14:textId="77777777" w:rsidR="009E29F0" w:rsidRPr="006D41E8" w:rsidRDefault="009E29F0" w:rsidP="00C37891">
      <w:pPr>
        <w:pStyle w:val="Call-outbox0"/>
        <w:framePr w:w="2494" w:h="4246" w:hRule="exact" w:hSpace="170" w:vSpace="170" w:wrap="around" w:hAnchor="page" w:x="7914" w:y="10"/>
      </w:pPr>
      <w:r w:rsidRPr="00560738">
        <w:t>Highly permeable soils let water flow through easily, while less permeable soils restrict water movement.</w:t>
      </w:r>
    </w:p>
    <w:p w14:paraId="130C1BA6" w14:textId="4CA2EA49" w:rsidR="00864093" w:rsidRPr="009D4716" w:rsidRDefault="002E0611" w:rsidP="0045702E">
      <w:pPr>
        <w:pStyle w:val="Heading3"/>
      </w:pPr>
      <w:bookmarkStart w:id="27" w:name="_Ref182492521"/>
      <w:bookmarkStart w:id="28" w:name="_Toc201047264"/>
      <w:r>
        <w:t xml:space="preserve">Groundwater </w:t>
      </w:r>
      <w:r w:rsidR="00CC43CB">
        <w:t>quality</w:t>
      </w:r>
      <w:bookmarkEnd w:id="27"/>
      <w:bookmarkEnd w:id="28"/>
    </w:p>
    <w:p w14:paraId="6AC7035F" w14:textId="452250AB" w:rsidR="00E66EF1" w:rsidRDefault="005D2C9E" w:rsidP="0947C973">
      <w:r w:rsidRPr="0AE81A1E">
        <w:t>C</w:t>
      </w:r>
      <w:r w:rsidR="00E66EF1" w:rsidRPr="0AE81A1E">
        <w:t>onstruction of the Project may c</w:t>
      </w:r>
      <w:r w:rsidR="00913577" w:rsidRPr="0AE81A1E">
        <w:t>ause groundwater quality to degrade</w:t>
      </w:r>
      <w:r w:rsidRPr="0AE81A1E">
        <w:t xml:space="preserve"> when</w:t>
      </w:r>
      <w:r w:rsidR="00913577" w:rsidRPr="0AE81A1E">
        <w:t xml:space="preserve"> </w:t>
      </w:r>
      <w:r w:rsidR="00871B3A" w:rsidRPr="0AE81A1E">
        <w:t>excavations</w:t>
      </w:r>
      <w:r w:rsidRPr="0AE81A1E">
        <w:t xml:space="preserve"> extend</w:t>
      </w:r>
      <w:r w:rsidR="00871B3A" w:rsidRPr="0AE81A1E">
        <w:t xml:space="preserve"> below the watertable or compromise surface seals</w:t>
      </w:r>
      <w:r w:rsidR="006F1240" w:rsidRPr="0AE81A1E">
        <w:t>,</w:t>
      </w:r>
      <w:r w:rsidR="00871B3A" w:rsidRPr="0AE81A1E">
        <w:t xml:space="preserve"> creating pathways </w:t>
      </w:r>
      <w:r w:rsidR="006F1240" w:rsidRPr="0AE81A1E">
        <w:t xml:space="preserve">that allow surface water or other pollutants to </w:t>
      </w:r>
      <w:r w:rsidRPr="0AE81A1E">
        <w:t>encounter groundwater</w:t>
      </w:r>
      <w:r w:rsidR="006F1240" w:rsidRPr="0AE81A1E">
        <w:t xml:space="preserve">. </w:t>
      </w:r>
      <w:r w:rsidR="004733F9" w:rsidRPr="0AE81A1E">
        <w:t xml:space="preserve">If acid sulfate soils or existing contaminants are present in excavations, dewatering could impact on groundwater quality by mobilising </w:t>
      </w:r>
      <w:r w:rsidR="00FE039A" w:rsidRPr="0AE81A1E">
        <w:t xml:space="preserve">such </w:t>
      </w:r>
      <w:r w:rsidR="004733F9" w:rsidRPr="0AE81A1E">
        <w:t xml:space="preserve">contaminants. </w:t>
      </w:r>
      <w:r w:rsidR="001C3E8E" w:rsidRPr="0AE81A1E">
        <w:t xml:space="preserve">Excavations can also </w:t>
      </w:r>
      <w:r w:rsidR="00133F0B" w:rsidRPr="0AE81A1E">
        <w:t xml:space="preserve">increase the permeability of the surrounding soil, making it easier for </w:t>
      </w:r>
      <w:r w:rsidRPr="0AE81A1E">
        <w:t>contaminants</w:t>
      </w:r>
      <w:r w:rsidR="00133F0B" w:rsidRPr="0AE81A1E">
        <w:t xml:space="preserve"> to </w:t>
      </w:r>
      <w:r w:rsidR="00454493" w:rsidRPr="0AE81A1E">
        <w:t xml:space="preserve">enter groundwater through the groundwater recharge process (discussed in Section </w:t>
      </w:r>
      <w:r>
        <w:fldChar w:fldCharType="begin"/>
      </w:r>
      <w:r>
        <w:instrText xml:space="preserve"> REF _Ref182377744 \n \h </w:instrText>
      </w:r>
      <w:r>
        <w:fldChar w:fldCharType="separate"/>
      </w:r>
      <w:r w:rsidR="00D83237">
        <w:t>24.4.1</w:t>
      </w:r>
      <w:r>
        <w:fldChar w:fldCharType="end"/>
      </w:r>
      <w:r w:rsidR="00454493" w:rsidRPr="0AE81A1E">
        <w:t xml:space="preserve">). </w:t>
      </w:r>
      <w:r w:rsidR="001C3E8E" w:rsidRPr="0AE81A1E">
        <w:t xml:space="preserve">Further, the handling of solid and liquid wastes during construction may lead to leaks and spills impacting groundwater quality and its environmental value. </w:t>
      </w:r>
      <w:r w:rsidR="006F1240" w:rsidRPr="0AE81A1E">
        <w:t xml:space="preserve"> </w:t>
      </w:r>
    </w:p>
    <w:p w14:paraId="55761860" w14:textId="55622A02" w:rsidR="007A40E2" w:rsidRPr="007A40E2" w:rsidRDefault="00153CE6" w:rsidP="007A40E2">
      <w:r w:rsidRPr="0AE81A1E">
        <w:t xml:space="preserve">The potential </w:t>
      </w:r>
      <w:r w:rsidR="00414C7E" w:rsidRPr="0AE81A1E">
        <w:t xml:space="preserve">for </w:t>
      </w:r>
      <w:r w:rsidRPr="0AE81A1E">
        <w:t xml:space="preserve">groundwater contamination </w:t>
      </w:r>
      <w:r w:rsidR="006B7450" w:rsidRPr="0AE81A1E">
        <w:t xml:space="preserve">will be </w:t>
      </w:r>
      <w:r w:rsidRPr="0AE81A1E">
        <w:t>minimised so far as reasonably practicable through the appropriate design of surface seal</w:t>
      </w:r>
      <w:r w:rsidR="0000635B" w:rsidRPr="0AE81A1E">
        <w:t>s</w:t>
      </w:r>
      <w:r w:rsidRPr="0AE81A1E">
        <w:t xml:space="preserve">. </w:t>
      </w:r>
      <w:r w:rsidR="006B7450" w:rsidRPr="0AE81A1E">
        <w:t>T</w:t>
      </w:r>
      <w:r w:rsidR="007A40E2" w:rsidRPr="0AE81A1E">
        <w:t xml:space="preserve">he Principal Contractor will be required to develop and implement a Groundwater Management Plan (EPR GW2) that </w:t>
      </w:r>
      <w:r w:rsidR="006B7450" w:rsidRPr="0AE81A1E">
        <w:t>outlines the</w:t>
      </w:r>
      <w:r w:rsidR="007A40E2" w:rsidRPr="0AE81A1E">
        <w:t xml:space="preserve"> controls to </w:t>
      </w:r>
      <w:r w:rsidR="00E66BA3">
        <w:t>avoid and minimise</w:t>
      </w:r>
      <w:r w:rsidR="0038681A">
        <w:t xml:space="preserve"> </w:t>
      </w:r>
      <w:r w:rsidR="00846128" w:rsidRPr="0AE81A1E">
        <w:t xml:space="preserve">impacts </w:t>
      </w:r>
      <w:r w:rsidR="007A40E2" w:rsidRPr="0AE81A1E">
        <w:t>to groundwater during</w:t>
      </w:r>
      <w:r w:rsidR="0000635B" w:rsidRPr="0AE81A1E">
        <w:t xml:space="preserve"> construction</w:t>
      </w:r>
      <w:r w:rsidR="007A40E2" w:rsidRPr="0AE81A1E">
        <w:t xml:space="preserve">. The </w:t>
      </w:r>
      <w:r w:rsidR="00A163A1" w:rsidRPr="0AE81A1E">
        <w:t xml:space="preserve">Groundwater Management </w:t>
      </w:r>
      <w:r w:rsidR="004E4625" w:rsidRPr="0AE81A1E">
        <w:t xml:space="preserve">Plan </w:t>
      </w:r>
      <w:r w:rsidR="007A40E2" w:rsidRPr="0AE81A1E">
        <w:t xml:space="preserve">will include, but </w:t>
      </w:r>
      <w:r w:rsidR="004E4625" w:rsidRPr="0AE81A1E">
        <w:t xml:space="preserve">is </w:t>
      </w:r>
      <w:r w:rsidR="007A40E2" w:rsidRPr="0AE81A1E">
        <w:t>not limited to:</w:t>
      </w:r>
    </w:p>
    <w:p w14:paraId="76184141" w14:textId="1CEF31AF" w:rsidR="00082056" w:rsidRPr="00082056" w:rsidRDefault="00082056" w:rsidP="00082056">
      <w:pPr>
        <w:pStyle w:val="ListBullet"/>
      </w:pPr>
      <w:r w:rsidRPr="0AE81A1E">
        <w:t>Controls outlined in EPA Publication</w:t>
      </w:r>
      <w:r w:rsidR="00CD3834" w:rsidRPr="0AE81A1E">
        <w:t xml:space="preserve"> </w:t>
      </w:r>
      <w:r w:rsidRPr="0AE81A1E">
        <w:t>1834</w:t>
      </w:r>
      <w:r w:rsidR="009E3535" w:rsidRPr="0AE81A1E">
        <w:t>.1</w:t>
      </w:r>
      <w:r w:rsidR="004E4625" w:rsidRPr="0AE81A1E">
        <w:t>:</w:t>
      </w:r>
      <w:r w:rsidRPr="0AE81A1E">
        <w:t xml:space="preserve"> </w:t>
      </w:r>
      <w:r w:rsidR="00CD3834" w:rsidRPr="0AE81A1E">
        <w:t>Civil construction, building and demolition guide</w:t>
      </w:r>
      <w:r w:rsidRPr="0AE81A1E">
        <w:t xml:space="preserve"> (EPA, 2023), as relevant to erosion, sediment, contaminated land and contaminated groundwater, chemicals and waste</w:t>
      </w:r>
      <w:r w:rsidR="00C429F3" w:rsidRPr="0AE81A1E">
        <w:t>. Wastes will be classified, managed, and disposed in accordance with EPA Publication 1827.2: Waste classification assessment protocol</w:t>
      </w:r>
      <w:r w:rsidR="00823CCF" w:rsidRPr="0AE81A1E">
        <w:t xml:space="preserve"> (EPA, 2021</w:t>
      </w:r>
      <w:r w:rsidR="007B6293" w:rsidRPr="0AE81A1E">
        <w:t>a</w:t>
      </w:r>
      <w:r w:rsidR="00823CCF" w:rsidRPr="0AE81A1E">
        <w:t>)</w:t>
      </w:r>
      <w:r w:rsidR="00C429F3" w:rsidRPr="0AE81A1E">
        <w:t>, EPA Publication 1968.1: Guide to classifying industrial waste</w:t>
      </w:r>
      <w:r w:rsidR="007B6293" w:rsidRPr="0AE81A1E">
        <w:t xml:space="preserve"> (EPA, 2021b)</w:t>
      </w:r>
      <w:r w:rsidR="00C429F3" w:rsidRPr="0AE81A1E">
        <w:t>, and EPA Publication 1828.</w:t>
      </w:r>
      <w:r w:rsidR="004574A6" w:rsidRPr="0AE81A1E">
        <w:t>3</w:t>
      </w:r>
      <w:r w:rsidR="00C429F3" w:rsidRPr="0AE81A1E">
        <w:t>: Waste disposal categories-characteristics and thresholds</w:t>
      </w:r>
      <w:r w:rsidR="007B103E" w:rsidRPr="0AE81A1E">
        <w:t xml:space="preserve"> (EPA, 2024)</w:t>
      </w:r>
      <w:r w:rsidR="006B7424">
        <w:t>.</w:t>
      </w:r>
    </w:p>
    <w:p w14:paraId="2E9209D8" w14:textId="31F27F58" w:rsidR="007A40E2" w:rsidRPr="007A40E2" w:rsidRDefault="007A40E2" w:rsidP="007A40E2">
      <w:pPr>
        <w:pStyle w:val="ListBullet"/>
      </w:pPr>
      <w:r w:rsidRPr="007A40E2">
        <w:t>Controls</w:t>
      </w:r>
      <w:r w:rsidR="00CD3834">
        <w:t xml:space="preserve"> outlined in </w:t>
      </w:r>
      <w:r w:rsidR="00CD3834" w:rsidRPr="0078223B">
        <w:t>EPA Publication 1698</w:t>
      </w:r>
      <w:r w:rsidR="00CD3834">
        <w:t>:</w:t>
      </w:r>
      <w:r w:rsidR="00CD3834" w:rsidRPr="0078223B">
        <w:t xml:space="preserve"> Liquid handling and storage guidelines (EPA, 2018</w:t>
      </w:r>
      <w:r w:rsidR="006369FE">
        <w:t>a</w:t>
      </w:r>
      <w:r w:rsidR="00CD3834" w:rsidRPr="0078223B">
        <w:t>)</w:t>
      </w:r>
      <w:r w:rsidRPr="007A40E2">
        <w:t xml:space="preserve"> </w:t>
      </w:r>
      <w:r w:rsidR="00213F81">
        <w:t xml:space="preserve">and EPA Publication 1700: </w:t>
      </w:r>
      <w:r w:rsidR="00213F81" w:rsidRPr="00213F81">
        <w:t>Preventing liquid leaks and spills from entering the environment</w:t>
      </w:r>
      <w:r w:rsidR="006369FE">
        <w:t xml:space="preserve"> (EPA, 2018b)</w:t>
      </w:r>
      <w:r w:rsidR="00213F81">
        <w:t xml:space="preserve">, </w:t>
      </w:r>
      <w:r w:rsidRPr="007A40E2">
        <w:t xml:space="preserve">to prevent leaks and spills, and measures to prevent any spills reaching the </w:t>
      </w:r>
      <w:r w:rsidR="009E05DD">
        <w:t>watertable</w:t>
      </w:r>
      <w:r w:rsidR="006B7424">
        <w:t>.</w:t>
      </w:r>
    </w:p>
    <w:p w14:paraId="33907DAF" w14:textId="3F0C2D08" w:rsidR="007A40E2" w:rsidRDefault="007A40E2" w:rsidP="007A40E2">
      <w:pPr>
        <w:pStyle w:val="ListBullet"/>
      </w:pPr>
      <w:r w:rsidRPr="0AE81A1E">
        <w:t>Controls to manage the collection, containment and transport of groundwater or slurry discharged from below</w:t>
      </w:r>
      <w:r w:rsidR="004E4625" w:rsidRPr="0AE81A1E">
        <w:t xml:space="preserve"> </w:t>
      </w:r>
      <w:r w:rsidRPr="0AE81A1E">
        <w:t xml:space="preserve">ground construction (noting that groundwater displaced to the surface </w:t>
      </w:r>
      <w:r w:rsidR="00340A76">
        <w:t>is</w:t>
      </w:r>
      <w:r w:rsidRPr="0AE81A1E">
        <w:t xml:space="preserve"> ‘waste’ </w:t>
      </w:r>
      <w:r w:rsidR="00CD3834" w:rsidRPr="0AE81A1E">
        <w:t>as defined by the</w:t>
      </w:r>
      <w:r w:rsidR="00CD3834" w:rsidRPr="0AE81A1E">
        <w:rPr>
          <w:i/>
          <w:iCs/>
        </w:rPr>
        <w:t xml:space="preserve"> Environment Protection Act 2017</w:t>
      </w:r>
      <w:r w:rsidR="00CD3834" w:rsidRPr="0AE81A1E">
        <w:t xml:space="preserve"> </w:t>
      </w:r>
      <w:r w:rsidRPr="0AE81A1E">
        <w:t>and will be managed in accordance with the Environment Protection Regulations)</w:t>
      </w:r>
      <w:r w:rsidR="006B7424">
        <w:t>.</w:t>
      </w:r>
    </w:p>
    <w:p w14:paraId="12B72CB7" w14:textId="64F84F52" w:rsidR="00C429F3" w:rsidRPr="007A40E2" w:rsidRDefault="00C429F3" w:rsidP="007A40E2">
      <w:pPr>
        <w:pStyle w:val="ListBullet"/>
      </w:pPr>
      <w:r w:rsidRPr="0AE81A1E">
        <w:t>Controls as described in EPA Publication 655.1: Acid sulfate soil and rock, for management of acid sulfate soils</w:t>
      </w:r>
      <w:r w:rsidR="00302DC6" w:rsidRPr="0AE81A1E">
        <w:t xml:space="preserve"> (EPA, 2009)</w:t>
      </w:r>
      <w:r w:rsidR="006B7424">
        <w:t>.</w:t>
      </w:r>
    </w:p>
    <w:p w14:paraId="493270B9" w14:textId="2F8C9D58" w:rsidR="007A40E2" w:rsidRPr="007A40E2" w:rsidRDefault="007A40E2" w:rsidP="007A40E2">
      <w:pPr>
        <w:pStyle w:val="ListBullet"/>
      </w:pPr>
      <w:r w:rsidRPr="007A40E2">
        <w:t>Installation of bunding during excavation works to prevent groundwater contamination during construction</w:t>
      </w:r>
      <w:r w:rsidR="006B7424">
        <w:t>.</w:t>
      </w:r>
    </w:p>
    <w:p w14:paraId="2F1B545B" w14:textId="472C86E2" w:rsidR="007A40E2" w:rsidRPr="007A40E2" w:rsidRDefault="007A40E2" w:rsidP="007A40E2">
      <w:pPr>
        <w:pStyle w:val="ListBullet"/>
      </w:pPr>
      <w:r w:rsidRPr="0AE81A1E">
        <w:t>Access arrangements to DEECA for any State Observation Bore Network (SOBN) bores located within the fenced construction area</w:t>
      </w:r>
      <w:r w:rsidR="006B7424">
        <w:t>.</w:t>
      </w:r>
    </w:p>
    <w:p w14:paraId="7DC45147" w14:textId="55AF2227" w:rsidR="00567CD3" w:rsidRDefault="007A40E2" w:rsidP="0AE81A1E">
      <w:pPr>
        <w:pStyle w:val="ListBullet"/>
      </w:pPr>
      <w:r w:rsidRPr="0AE81A1E">
        <w:t xml:space="preserve">Protocols </w:t>
      </w:r>
      <w:r w:rsidR="00E63D0E" w:rsidRPr="0AE81A1E">
        <w:t>for</w:t>
      </w:r>
      <w:r w:rsidR="00971EF4" w:rsidRPr="0AE81A1E">
        <w:t xml:space="preserve"> </w:t>
      </w:r>
      <w:r w:rsidRPr="0AE81A1E">
        <w:t xml:space="preserve">dewatering </w:t>
      </w:r>
      <w:r w:rsidR="00971EF4" w:rsidRPr="0AE81A1E">
        <w:t>(i.e. a Dewatering Plan)</w:t>
      </w:r>
      <w:r w:rsidR="00E63D0E" w:rsidRPr="0AE81A1E">
        <w:t xml:space="preserve"> to </w:t>
      </w:r>
      <w:r w:rsidR="00971EF4" w:rsidRPr="0AE81A1E">
        <w:t xml:space="preserve">manage the potential impacts to groundwater users or GDEs, as well as the potential of exposing acid sulfate soils or mobilising known groundwater contaminants. </w:t>
      </w:r>
      <w:r w:rsidRPr="0AE81A1E">
        <w:t xml:space="preserve"> </w:t>
      </w:r>
    </w:p>
    <w:p w14:paraId="5A4B68DE" w14:textId="3FAFD361" w:rsidR="008A3B3C" w:rsidRDefault="00007835" w:rsidP="008A3B3C">
      <w:r>
        <w:t xml:space="preserve">With the application of avoidance and mitigation measures as required by the Groundwater Management Plan (EPR GW2), </w:t>
      </w:r>
      <w:r w:rsidR="0093216D">
        <w:t xml:space="preserve">the extent, duration and magnitude of impacts associated with groundwater contamination </w:t>
      </w:r>
      <w:r w:rsidR="004365E7">
        <w:t>will</w:t>
      </w:r>
      <w:r w:rsidR="0093216D">
        <w:t xml:space="preserve"> be reduced</w:t>
      </w:r>
      <w:r w:rsidR="00F77CDE">
        <w:t>, and</w:t>
      </w:r>
      <w:r w:rsidR="00C66CB5">
        <w:t xml:space="preserve"> </w:t>
      </w:r>
      <w:r w:rsidR="00F77CDE">
        <w:t xml:space="preserve">residual </w:t>
      </w:r>
      <w:r w:rsidR="004E4625">
        <w:t xml:space="preserve">construction </w:t>
      </w:r>
      <w:r w:rsidR="008A3B3C">
        <w:t xml:space="preserve">impacts </w:t>
      </w:r>
      <w:r w:rsidR="0038681A">
        <w:t>will</w:t>
      </w:r>
      <w:r w:rsidR="008A3B3C">
        <w:t xml:space="preserve"> be negligible.</w:t>
      </w:r>
    </w:p>
    <w:p w14:paraId="5B18658E" w14:textId="0425A35A" w:rsidR="00740CB2" w:rsidRDefault="00567CD3" w:rsidP="00F30B86">
      <w:pPr>
        <w:pStyle w:val="Heading3"/>
      </w:pPr>
      <w:bookmarkStart w:id="29" w:name="_Toc182498234"/>
      <w:bookmarkStart w:id="30" w:name="_Toc182498235"/>
      <w:bookmarkStart w:id="31" w:name="_Toc182498236"/>
      <w:bookmarkStart w:id="32" w:name="_Toc182498237"/>
      <w:bookmarkStart w:id="33" w:name="_Ref180963179"/>
      <w:bookmarkStart w:id="34" w:name="_Toc201047265"/>
      <w:bookmarkEnd w:id="29"/>
      <w:bookmarkEnd w:id="30"/>
      <w:bookmarkEnd w:id="31"/>
      <w:bookmarkEnd w:id="32"/>
      <w:r w:rsidRPr="00567CD3">
        <w:lastRenderedPageBreak/>
        <w:t xml:space="preserve">Groundwater </w:t>
      </w:r>
      <w:r w:rsidR="004C5824">
        <w:t>bores</w:t>
      </w:r>
      <w:bookmarkEnd w:id="33"/>
      <w:bookmarkEnd w:id="34"/>
    </w:p>
    <w:p w14:paraId="2407F90D" w14:textId="16F9BF9F" w:rsidR="00F11D2C" w:rsidRDefault="005D2C9E" w:rsidP="00F30B86">
      <w:pPr>
        <w:keepNext/>
        <w:keepLines/>
      </w:pPr>
      <w:r>
        <w:t>C</w:t>
      </w:r>
      <w:r w:rsidR="00B67041">
        <w:t xml:space="preserve">onstruction of the Project </w:t>
      </w:r>
      <w:r w:rsidR="00183521">
        <w:t>could have a direct physical impact on</w:t>
      </w:r>
      <w:r w:rsidR="001C0BAB">
        <w:t xml:space="preserve"> </w:t>
      </w:r>
      <w:r w:rsidR="00015EAA">
        <w:t>the environmental values and use of groundwater</w:t>
      </w:r>
      <w:r w:rsidR="00183521">
        <w:t xml:space="preserve"> </w:t>
      </w:r>
      <w:r w:rsidR="00C45879">
        <w:t>if</w:t>
      </w:r>
      <w:r w:rsidR="00183521">
        <w:t xml:space="preserve"> transmission towers or other below ground works are</w:t>
      </w:r>
      <w:r w:rsidR="00DA70A1">
        <w:t xml:space="preserve"> </w:t>
      </w:r>
      <w:r>
        <w:t>conducted</w:t>
      </w:r>
      <w:r w:rsidR="00DA70A1">
        <w:t xml:space="preserve"> </w:t>
      </w:r>
      <w:r w:rsidR="00015EAA">
        <w:t xml:space="preserve">on, or </w:t>
      </w:r>
      <w:r w:rsidR="00DA70A1">
        <w:t>in proximity</w:t>
      </w:r>
      <w:r w:rsidR="00015EAA" w:rsidRPr="00015EAA">
        <w:t xml:space="preserve"> </w:t>
      </w:r>
      <w:r w:rsidR="00015EAA">
        <w:t>to, existing groundwater bores</w:t>
      </w:r>
      <w:r w:rsidR="00183521">
        <w:t xml:space="preserve">. </w:t>
      </w:r>
    </w:p>
    <w:p w14:paraId="75F567D9" w14:textId="6DD0AF6E" w:rsidR="00740CB2" w:rsidRDefault="00740CB2" w:rsidP="00B40C01">
      <w:pPr>
        <w:keepNext/>
        <w:keepLines/>
      </w:pPr>
      <w:r w:rsidRPr="0AE81A1E">
        <w:t>There are nine groundwater bores located within 100m of a proposed transmission tower (five in the central portion of the study area</w:t>
      </w:r>
      <w:r w:rsidR="006B7450" w:rsidRPr="0AE81A1E">
        <w:t>,</w:t>
      </w:r>
      <w:r w:rsidRPr="0AE81A1E">
        <w:t xml:space="preserve"> and four in the eastern portion of the study area). These bores have various uses and include five licensed bores (for irrigation and industrial / commercial use) and four registered bores (domestic and livestock and unknown uses). Based on depth to watertable information and the bore location with respect to the tower piling sites, </w:t>
      </w:r>
      <w:r w:rsidR="00314246" w:rsidRPr="0AE81A1E">
        <w:t xml:space="preserve">three towers may </w:t>
      </w:r>
      <w:r w:rsidRPr="0AE81A1E">
        <w:t xml:space="preserve">encounter groundwater and </w:t>
      </w:r>
      <w:r w:rsidR="00314246" w:rsidRPr="0AE81A1E">
        <w:t xml:space="preserve">five </w:t>
      </w:r>
      <w:r w:rsidRPr="0AE81A1E">
        <w:t>are unlikely to encounter groundwater except if piling exceeds approximately 9</w:t>
      </w:r>
      <w:r w:rsidR="00314246" w:rsidRPr="0AE81A1E">
        <w:t>m</w:t>
      </w:r>
      <w:r w:rsidRPr="0AE81A1E">
        <w:t xml:space="preserve"> depth. One site is not expected to encounter groundwater at all. Therefore, eight of the nine identified bores will require engagement with landholders to confirm presence of the bore, and if confirmed a site</w:t>
      </w:r>
      <w:r w:rsidR="00314246" w:rsidRPr="0AE81A1E">
        <w:t>-</w:t>
      </w:r>
      <w:r w:rsidRPr="0AE81A1E">
        <w:t xml:space="preserve">specific assessment will be required to appropriately plan for and </w:t>
      </w:r>
      <w:r w:rsidR="002A6791">
        <w:t>minimise and manage</w:t>
      </w:r>
      <w:r w:rsidR="002A6791" w:rsidRPr="0AE81A1E">
        <w:t xml:space="preserve"> </w:t>
      </w:r>
      <w:r w:rsidRPr="0AE81A1E">
        <w:t xml:space="preserve">physical impacts </w:t>
      </w:r>
      <w:r w:rsidR="006B7450" w:rsidRPr="0AE81A1E">
        <w:t>from</w:t>
      </w:r>
      <w:r w:rsidRPr="0AE81A1E">
        <w:t xml:space="preserve"> tower piling (EPR GW1). </w:t>
      </w:r>
    </w:p>
    <w:p w14:paraId="629DDDE6" w14:textId="37326AA9" w:rsidR="00740CB2" w:rsidRDefault="00740CB2" w:rsidP="00740CB2">
      <w:r w:rsidRPr="0AE81A1E">
        <w:t xml:space="preserve">An analysis of groundwater bores was also conducted in the vicinity of distribution line crossover locations. </w:t>
      </w:r>
      <w:r w:rsidR="006B7450" w:rsidRPr="0AE81A1E">
        <w:t>There are</w:t>
      </w:r>
      <w:r w:rsidRPr="0AE81A1E">
        <w:t xml:space="preserve"> 15 groundwater bores located within 100m </w:t>
      </w:r>
      <w:r w:rsidR="001E753C" w:rsidRPr="0AE81A1E">
        <w:t xml:space="preserve">of </w:t>
      </w:r>
      <w:r w:rsidRPr="0AE81A1E">
        <w:t xml:space="preserve">crossover works (five are in the central portion of the study area and ten in the eastern portion of the study area). Of these, three are licensed bores (for irrigation and domestic and livestock needs), 11 </w:t>
      </w:r>
      <w:r w:rsidR="001E753C" w:rsidRPr="0AE81A1E">
        <w:t xml:space="preserve">are </w:t>
      </w:r>
      <w:r w:rsidRPr="0AE81A1E">
        <w:t>registered bores (domestic and livestock, observational and unknown uses)</w:t>
      </w:r>
      <w:r w:rsidR="00314246" w:rsidRPr="0AE81A1E">
        <w:t xml:space="preserve"> </w:t>
      </w:r>
      <w:r w:rsidRPr="0AE81A1E">
        <w:t>and one is a</w:t>
      </w:r>
      <w:r w:rsidR="004834B8">
        <w:t xml:space="preserve"> State Observation Bore Network</w:t>
      </w:r>
      <w:r w:rsidRPr="0AE81A1E">
        <w:t xml:space="preserve"> </w:t>
      </w:r>
      <w:r w:rsidR="004834B8">
        <w:t>(</w:t>
      </w:r>
      <w:r w:rsidRPr="0AE81A1E">
        <w:t>SOBN</w:t>
      </w:r>
      <w:r w:rsidR="004834B8">
        <w:t>)</w:t>
      </w:r>
      <w:r w:rsidRPr="0AE81A1E">
        <w:t xml:space="preserve"> bore. Based on depth to watertable information</w:t>
      </w:r>
      <w:r w:rsidR="006B7450" w:rsidRPr="0AE81A1E">
        <w:t>,</w:t>
      </w:r>
      <w:r w:rsidRPr="0AE81A1E">
        <w:t xml:space="preserve"> seven distribution line crossover sites have the potential to intersect groundwater (groundwater is expected to be encountered at depths of less than 5m). The SOBN bore appears to be located within the easement designated for crossover works and there is potential for direct </w:t>
      </w:r>
      <w:r w:rsidR="00A163A1" w:rsidRPr="0AE81A1E">
        <w:t>i</w:t>
      </w:r>
      <w:r w:rsidRPr="0AE81A1E">
        <w:t xml:space="preserve">mpact (damage) to the SOBN bore. </w:t>
      </w:r>
      <w:r w:rsidR="006B7450" w:rsidRPr="0AE81A1E">
        <w:t>Again</w:t>
      </w:r>
      <w:r w:rsidRPr="0AE81A1E">
        <w:t xml:space="preserve">, engagement with landholders and DEECA (for the SOBN bore) is needed to confirm the presence of these bores and if confirmed a </w:t>
      </w:r>
      <w:r w:rsidR="008F1D68" w:rsidRPr="0AE81A1E">
        <w:t>site-specific</w:t>
      </w:r>
      <w:r w:rsidRPr="0AE81A1E">
        <w:t xml:space="preserve"> assessment will be required to appropriately plan for and </w:t>
      </w:r>
      <w:r w:rsidR="002A6791">
        <w:t>minimise and manage</w:t>
      </w:r>
      <w:r w:rsidR="002A6791" w:rsidRPr="0AE81A1E">
        <w:t xml:space="preserve"> </w:t>
      </w:r>
      <w:r w:rsidRPr="0AE81A1E">
        <w:t xml:space="preserve">physical impacts as a result of crossover works (EPR GW1). </w:t>
      </w:r>
    </w:p>
    <w:p w14:paraId="739A0BB6" w14:textId="7A92AAA8" w:rsidR="00B12F7D" w:rsidRDefault="00B12F7D" w:rsidP="00B12F7D">
      <w:r w:rsidRPr="0AE81A1E">
        <w:t xml:space="preserve">To reinforce the protection of existing groundwater bores and to minimise the potential for direct physical impacts of construction, </w:t>
      </w:r>
      <w:r w:rsidR="00BD3768">
        <w:fldChar w:fldCharType="begin"/>
      </w:r>
      <w:r w:rsidR="00BD3768">
        <w:instrText xml:space="preserve"> REF _Ref193900049 \h </w:instrText>
      </w:r>
      <w:r w:rsidR="00BD3768">
        <w:fldChar w:fldCharType="separate"/>
      </w:r>
      <w:r w:rsidR="00BD3768" w:rsidRPr="009038E7">
        <w:t>Table</w:t>
      </w:r>
      <w:r w:rsidR="00BD3768">
        <w:t> </w:t>
      </w:r>
      <w:r w:rsidR="00BD3768">
        <w:rPr>
          <w:noProof/>
        </w:rPr>
        <w:t>24</w:t>
      </w:r>
      <w:r w:rsidR="00BD3768">
        <w:t>.</w:t>
      </w:r>
      <w:r w:rsidR="00BD3768">
        <w:rPr>
          <w:noProof/>
        </w:rPr>
        <w:t>2</w:t>
      </w:r>
      <w:r w:rsidR="00BD3768">
        <w:fldChar w:fldCharType="end"/>
      </w:r>
      <w:r w:rsidR="00BD3768">
        <w:t xml:space="preserve"> </w:t>
      </w:r>
      <w:r w:rsidRPr="0AE81A1E">
        <w:t xml:space="preserve">details the buffer zones to be considered for transmission towers, distribution line crossovers, and below ground works at terminal stations. If works will be within the specified buffers, a site-specific groundwater assessment will be conducted by the Principal Contractor to evaluate potential for physical impact. If impact is identified, site-specific monitoring and mitigation strategies will be implemented (EPR GW1). These buffer zones are for physical distancing only and do not consider dewatering impacts. </w:t>
      </w:r>
    </w:p>
    <w:p w14:paraId="08C7FFF4" w14:textId="60679656" w:rsidR="0028508B" w:rsidRPr="00ED43A0" w:rsidRDefault="0028508B" w:rsidP="0028508B">
      <w:pPr>
        <w:pStyle w:val="Caption"/>
      </w:pPr>
      <w:bookmarkStart w:id="35" w:name="_Ref193900049"/>
      <w:r w:rsidRPr="009038E7">
        <w:t>Table</w:t>
      </w:r>
      <w:r>
        <w:t> </w:t>
      </w:r>
      <w:r>
        <w:fldChar w:fldCharType="begin"/>
      </w:r>
      <w:r>
        <w:instrText>STYLEREF 1 \s</w:instrText>
      </w:r>
      <w:r>
        <w:fldChar w:fldCharType="separate"/>
      </w:r>
      <w:r w:rsidR="00BD3768">
        <w:rPr>
          <w:noProof/>
        </w:rPr>
        <w:t>24</w:t>
      </w:r>
      <w:r>
        <w:fldChar w:fldCharType="end"/>
      </w:r>
      <w:r w:rsidR="00B8216E">
        <w:t>.</w:t>
      </w:r>
      <w:r>
        <w:fldChar w:fldCharType="begin"/>
      </w:r>
      <w:r>
        <w:instrText>SEQ Table \* ARABIC \s 1</w:instrText>
      </w:r>
      <w:r>
        <w:fldChar w:fldCharType="separate"/>
      </w:r>
      <w:r w:rsidR="00BD3768">
        <w:rPr>
          <w:noProof/>
        </w:rPr>
        <w:t>2</w:t>
      </w:r>
      <w:r>
        <w:fldChar w:fldCharType="end"/>
      </w:r>
      <w:bookmarkEnd w:id="35"/>
      <w:r w:rsidR="00C37891">
        <w:rPr>
          <w:noProof/>
        </w:rPr>
        <w:t xml:space="preserve"> </w:t>
      </w:r>
      <w:r>
        <w:t>Siting of works to minimise potential for direct physical impact of construction on groundwater receptors</w:t>
      </w:r>
      <w:r w:rsidRPr="00971EF4" w:rsidDel="00971EF4">
        <w:t xml:space="preserve"> </w:t>
      </w:r>
    </w:p>
    <w:tbl>
      <w:tblPr>
        <w:tblStyle w:val="WVTTable2"/>
        <w:tblW w:w="5000" w:type="pct"/>
        <w:tblLook w:val="04A0" w:firstRow="1" w:lastRow="0" w:firstColumn="1" w:lastColumn="0" w:noHBand="0" w:noVBand="1"/>
      </w:tblPr>
      <w:tblGrid>
        <w:gridCol w:w="4525"/>
        <w:gridCol w:w="4545"/>
      </w:tblGrid>
      <w:tr w:rsidR="0028508B" w:rsidRPr="00826EE9" w14:paraId="3264FE67" w14:textId="77777777" w:rsidTr="00E86A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tcPr>
          <w:p w14:paraId="7BB2F593" w14:textId="77777777" w:rsidR="0028508B" w:rsidRPr="00456A6D" w:rsidRDefault="0028508B" w:rsidP="000059BF">
            <w:pPr>
              <w:pStyle w:val="TableText"/>
            </w:pPr>
            <w:r w:rsidRPr="00456A6D">
              <w:t>Category</w:t>
            </w:r>
          </w:p>
        </w:tc>
        <w:tc>
          <w:tcPr>
            <w:tcW w:w="0" w:type="pct"/>
          </w:tcPr>
          <w:p w14:paraId="1B84029D" w14:textId="77777777" w:rsidR="0028508B" w:rsidRPr="00456A6D" w:rsidRDefault="0028508B" w:rsidP="000059BF">
            <w:pPr>
              <w:pStyle w:val="TableText"/>
              <w:cnfStyle w:val="100000000000" w:firstRow="1" w:lastRow="0" w:firstColumn="0" w:lastColumn="0" w:oddVBand="0" w:evenVBand="0" w:oddHBand="0" w:evenHBand="0" w:firstRowFirstColumn="0" w:firstRowLastColumn="0" w:lastRowFirstColumn="0" w:lastRowLastColumn="0"/>
            </w:pPr>
            <w:r w:rsidRPr="00456A6D">
              <w:t>Siting of works</w:t>
            </w:r>
          </w:p>
        </w:tc>
      </w:tr>
      <w:tr w:rsidR="0028508B" w14:paraId="107EB4ED" w14:textId="77777777" w:rsidTr="00E86AD0">
        <w:trPr>
          <w:trHeight w:val="20"/>
        </w:trPr>
        <w:tc>
          <w:tcPr>
            <w:cnfStyle w:val="001000000000" w:firstRow="0" w:lastRow="0" w:firstColumn="1" w:lastColumn="0" w:oddVBand="0" w:evenVBand="0" w:oddHBand="0" w:evenHBand="0" w:firstRowFirstColumn="0" w:firstRowLastColumn="0" w:lastRowFirstColumn="0" w:lastRowLastColumn="0"/>
            <w:tcW w:w="0" w:type="pct"/>
          </w:tcPr>
          <w:p w14:paraId="67808630" w14:textId="77777777" w:rsidR="0028508B" w:rsidRPr="00AA3DB2" w:rsidRDefault="0028508B" w:rsidP="000059BF">
            <w:pPr>
              <w:pStyle w:val="TableText"/>
            </w:pPr>
            <w:r w:rsidRPr="0AE81A1E">
              <w:t>All registered or identified groundwater extraction bores</w:t>
            </w:r>
          </w:p>
        </w:tc>
        <w:tc>
          <w:tcPr>
            <w:tcW w:w="0" w:type="pct"/>
          </w:tcPr>
          <w:p w14:paraId="48A8D84C" w14:textId="77777777" w:rsidR="0028508B" w:rsidRPr="00456A6D" w:rsidRDefault="0028508B" w:rsidP="000059BF">
            <w:pPr>
              <w:pStyle w:val="TableText"/>
              <w:cnfStyle w:val="000000000000" w:firstRow="0" w:lastRow="0" w:firstColumn="0" w:lastColumn="0" w:oddVBand="0" w:evenVBand="0" w:oddHBand="0" w:evenHBand="0" w:firstRowFirstColumn="0" w:firstRowLastColumn="0" w:lastRowFirstColumn="0" w:lastRowLastColumn="0"/>
            </w:pPr>
            <w:r w:rsidRPr="00456A6D">
              <w:t xml:space="preserve">100m </w:t>
            </w:r>
            <w:r>
              <w:t xml:space="preserve">buffer zone </w:t>
            </w:r>
            <w:r w:rsidRPr="00456A6D">
              <w:t xml:space="preserve">from </w:t>
            </w:r>
            <w:r>
              <w:t xml:space="preserve">groundwater </w:t>
            </w:r>
            <w:r w:rsidRPr="00456A6D">
              <w:t>bore</w:t>
            </w:r>
            <w:r>
              <w:t>s</w:t>
            </w:r>
          </w:p>
        </w:tc>
      </w:tr>
      <w:tr w:rsidR="0028508B" w14:paraId="011B6D6E" w14:textId="77777777" w:rsidTr="00E86A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tcPr>
          <w:p w14:paraId="67EFAF5A" w14:textId="77777777" w:rsidR="0028508B" w:rsidRPr="00AA3DB2" w:rsidRDefault="0028508B" w:rsidP="000059BF">
            <w:pPr>
              <w:pStyle w:val="TableText"/>
            </w:pPr>
            <w:r w:rsidRPr="00AA3DB2">
              <w:t>SOBN bores</w:t>
            </w:r>
          </w:p>
        </w:tc>
        <w:tc>
          <w:tcPr>
            <w:tcW w:w="0" w:type="pct"/>
          </w:tcPr>
          <w:p w14:paraId="712705EE" w14:textId="77777777" w:rsidR="0028508B" w:rsidRPr="00456A6D" w:rsidRDefault="0028508B" w:rsidP="000059BF">
            <w:pPr>
              <w:pStyle w:val="TableText"/>
              <w:cnfStyle w:val="000000010000" w:firstRow="0" w:lastRow="0" w:firstColumn="0" w:lastColumn="0" w:oddVBand="0" w:evenVBand="0" w:oddHBand="0" w:evenHBand="1" w:firstRowFirstColumn="0" w:firstRowLastColumn="0" w:lastRowFirstColumn="0" w:lastRowLastColumn="0"/>
            </w:pPr>
            <w:r w:rsidRPr="00456A6D">
              <w:t>100m</w:t>
            </w:r>
            <w:r>
              <w:t xml:space="preserve"> buffer</w:t>
            </w:r>
            <w:r w:rsidRPr="00456A6D">
              <w:t xml:space="preserve"> </w:t>
            </w:r>
            <w:r>
              <w:t>zone</w:t>
            </w:r>
            <w:r w:rsidRPr="00456A6D">
              <w:t xml:space="preserve"> from the bore</w:t>
            </w:r>
          </w:p>
        </w:tc>
      </w:tr>
    </w:tbl>
    <w:p w14:paraId="2217DEB8" w14:textId="77777777" w:rsidR="0028508B" w:rsidRDefault="0028508B" w:rsidP="006C5D61">
      <w:pPr>
        <w:spacing w:after="120"/>
      </w:pPr>
    </w:p>
    <w:p w14:paraId="55628BB0" w14:textId="2239A1F9" w:rsidR="006C5D61" w:rsidRDefault="00A5389C" w:rsidP="0AE81A1E">
      <w:r w:rsidRPr="0AE81A1E">
        <w:t xml:space="preserve">By </w:t>
      </w:r>
      <w:r w:rsidR="001E753C" w:rsidRPr="0AE81A1E">
        <w:t>siting works to reduce potential of direct physical impact to groundwater receptors</w:t>
      </w:r>
      <w:r w:rsidRPr="0AE81A1E">
        <w:t xml:space="preserve"> </w:t>
      </w:r>
      <w:r w:rsidR="007E5A2C" w:rsidRPr="0AE81A1E">
        <w:t>(EPR GW1</w:t>
      </w:r>
      <w:r w:rsidR="001E753C" w:rsidRPr="0AE81A1E">
        <w:t xml:space="preserve">) </w:t>
      </w:r>
      <w:r w:rsidR="006C5D61" w:rsidRPr="0AE81A1E">
        <w:t xml:space="preserve">and </w:t>
      </w:r>
      <w:r w:rsidR="007E5A2C" w:rsidRPr="0AE81A1E">
        <w:t xml:space="preserve">the implementation of </w:t>
      </w:r>
      <w:r w:rsidR="003D0D1E">
        <w:t xml:space="preserve">mitigation measures </w:t>
      </w:r>
      <w:r w:rsidR="00D24D62">
        <w:t>required in the</w:t>
      </w:r>
      <w:r w:rsidR="007E5A2C" w:rsidRPr="0AE81A1E">
        <w:t xml:space="preserve"> </w:t>
      </w:r>
      <w:r w:rsidR="006C5D61" w:rsidRPr="0AE81A1E">
        <w:t>Groundwater Management Plan</w:t>
      </w:r>
      <w:r w:rsidR="007E5A2C" w:rsidRPr="0AE81A1E">
        <w:t xml:space="preserve"> (EPR GW2</w:t>
      </w:r>
      <w:r w:rsidR="006C5D61" w:rsidRPr="0AE81A1E">
        <w:t>)</w:t>
      </w:r>
      <w:r w:rsidRPr="0AE81A1E">
        <w:t>,</w:t>
      </w:r>
      <w:r w:rsidR="0038681A">
        <w:t xml:space="preserve"> the extent and magnitude of impacts will be reduced, and</w:t>
      </w:r>
      <w:r w:rsidR="006C5D61" w:rsidRPr="0AE81A1E">
        <w:t xml:space="preserve"> the residual impact to bores identified within 100m of towers and distribution line crossovers is negligible. </w:t>
      </w:r>
      <w:r w:rsidR="00DF0990" w:rsidRPr="0AE81A1E">
        <w:t xml:space="preserve">However, minor residual impacts are likely to be unavoidable only when mitigation measures cannot be fully implemented, for example where buffer zones cannot be </w:t>
      </w:r>
      <w:r w:rsidR="006F0308" w:rsidRPr="0AE81A1E">
        <w:t>implemented,</w:t>
      </w:r>
      <w:r w:rsidR="00DF0990" w:rsidRPr="0AE81A1E">
        <w:t xml:space="preserve"> and tower footings are located on top of existing bores. In these cases, groundwater bores may need to be abandoned and replaced in agreement with the landholder. </w:t>
      </w:r>
      <w:r w:rsidR="006C5D61" w:rsidRPr="0AE81A1E">
        <w:t xml:space="preserve"> </w:t>
      </w:r>
    </w:p>
    <w:p w14:paraId="09FB6A76" w14:textId="2EFA2E39" w:rsidR="00567CD3" w:rsidRDefault="00740CB2" w:rsidP="00B40C01">
      <w:pPr>
        <w:pStyle w:val="Heading3"/>
      </w:pPr>
      <w:bookmarkStart w:id="36" w:name="_Toc201047266"/>
      <w:r>
        <w:lastRenderedPageBreak/>
        <w:t>G</w:t>
      </w:r>
      <w:r w:rsidR="00605183">
        <w:t>DEs</w:t>
      </w:r>
      <w:bookmarkEnd w:id="36"/>
    </w:p>
    <w:p w14:paraId="42DA23A8" w14:textId="268250FD" w:rsidR="001E753C" w:rsidRDefault="00A3178D" w:rsidP="00B40C01">
      <w:pPr>
        <w:keepNext/>
        <w:keepLines/>
      </w:pPr>
      <w:r w:rsidRPr="0AE81A1E">
        <w:t>C</w:t>
      </w:r>
      <w:r w:rsidR="00D64014" w:rsidRPr="0AE81A1E">
        <w:t xml:space="preserve">onstruction of the Project </w:t>
      </w:r>
      <w:r w:rsidRPr="0AE81A1E">
        <w:t>has the potential to cause</w:t>
      </w:r>
      <w:r w:rsidR="00D64014" w:rsidRPr="0AE81A1E">
        <w:t xml:space="preserve"> a direct physical impact on the </w:t>
      </w:r>
      <w:r w:rsidR="00714E23" w:rsidRPr="0AE81A1E">
        <w:t xml:space="preserve">availability of groundwater to support GDEs </w:t>
      </w:r>
      <w:r w:rsidR="00D64014" w:rsidRPr="0AE81A1E">
        <w:t xml:space="preserve">if transmission </w:t>
      </w:r>
      <w:r w:rsidR="006F0308" w:rsidRPr="0AE81A1E">
        <w:t>towers,</w:t>
      </w:r>
      <w:r w:rsidR="00D64014" w:rsidRPr="0AE81A1E">
        <w:t xml:space="preserve"> or other below ground works are undertaken in proximity. </w:t>
      </w:r>
      <w:r w:rsidR="0047117B" w:rsidRPr="0AE81A1E">
        <w:t>There are</w:t>
      </w:r>
      <w:r w:rsidR="00CE7B60" w:rsidRPr="0AE81A1E">
        <w:t xml:space="preserve"> </w:t>
      </w:r>
      <w:r w:rsidR="00960A92" w:rsidRPr="0AE81A1E">
        <w:t xml:space="preserve">15 </w:t>
      </w:r>
      <w:r w:rsidR="001A3DBC" w:rsidRPr="0AE81A1E">
        <w:t xml:space="preserve">aquatic </w:t>
      </w:r>
      <w:r w:rsidR="00960A92" w:rsidRPr="0AE81A1E">
        <w:t>GDEs</w:t>
      </w:r>
      <w:r w:rsidR="001A3DBC" w:rsidRPr="0AE81A1E">
        <w:t xml:space="preserve"> located</w:t>
      </w:r>
      <w:r w:rsidR="00960A92" w:rsidRPr="0AE81A1E">
        <w:t xml:space="preserve"> within 50m </w:t>
      </w:r>
      <w:r w:rsidR="004C5824" w:rsidRPr="0AE81A1E">
        <w:t>o</w:t>
      </w:r>
      <w:r w:rsidR="00960A92" w:rsidRPr="0AE81A1E">
        <w:t xml:space="preserve">f </w:t>
      </w:r>
      <w:r w:rsidR="001A3DBC" w:rsidRPr="0AE81A1E">
        <w:t xml:space="preserve">a proposed transmission </w:t>
      </w:r>
      <w:r w:rsidR="00960A92" w:rsidRPr="0AE81A1E">
        <w:t>tower</w:t>
      </w:r>
      <w:r w:rsidR="0047117B" w:rsidRPr="0AE81A1E">
        <w:t xml:space="preserve">; these are dispersed across the study area. As referenced in </w:t>
      </w:r>
      <w:r w:rsidR="008A186E" w:rsidRPr="0AE81A1E">
        <w:rPr>
          <w:b/>
          <w:bCs/>
        </w:rPr>
        <w:t>Technical Report</w:t>
      </w:r>
      <w:r w:rsidR="0047117B" w:rsidRPr="0AE81A1E">
        <w:rPr>
          <w:b/>
          <w:bCs/>
        </w:rPr>
        <w:t xml:space="preserve"> </w:t>
      </w:r>
      <w:r w:rsidR="008A186E" w:rsidRPr="0AE81A1E">
        <w:rPr>
          <w:b/>
          <w:bCs/>
        </w:rPr>
        <w:t xml:space="preserve">T: </w:t>
      </w:r>
      <w:r w:rsidR="0047117B" w:rsidRPr="0AE81A1E">
        <w:rPr>
          <w:b/>
          <w:bCs/>
        </w:rPr>
        <w:t>Surface Water Impact Assessment</w:t>
      </w:r>
      <w:r w:rsidR="0047117B" w:rsidRPr="0AE81A1E">
        <w:t xml:space="preserve">, the CMAs and Melbourne Water recommend construction setback distances from waterways (ranging from 20 to 50m depending on the type of waterway) which aim to minimise flow disruption and bank erosion. </w:t>
      </w:r>
    </w:p>
    <w:p w14:paraId="52133E1B" w14:textId="7C090BF7" w:rsidR="00567CD3" w:rsidRDefault="006B7450" w:rsidP="00864093">
      <w:r w:rsidRPr="0AE81A1E">
        <w:t>I</w:t>
      </w:r>
      <w:r w:rsidR="0047117B" w:rsidRPr="0AE81A1E">
        <w:t xml:space="preserve">n terms of groundwater impact, as the majority of the GDEs are located outside of the CMA and Melbourne Water setback distances, there is no significant physical impact expected from siting works within the recommended setback distances and the impact is minor. If dewatering is required for tower piling, the potential impacts to GDEs will be </w:t>
      </w:r>
      <w:r w:rsidR="002A6791">
        <w:t>minimised and managed</w:t>
      </w:r>
      <w:r w:rsidR="002A6791" w:rsidRPr="0AE81A1E">
        <w:t xml:space="preserve"> </w:t>
      </w:r>
      <w:r w:rsidR="0047117B" w:rsidRPr="0AE81A1E">
        <w:t xml:space="preserve">through specific protocols for dewatering which will form part of the Groundwater Management Plan (EPR GW2). </w:t>
      </w:r>
    </w:p>
    <w:p w14:paraId="0B379B12" w14:textId="021CEAE3" w:rsidR="004C5824" w:rsidRDefault="004C5824" w:rsidP="004C5824">
      <w:r w:rsidRPr="0AE81A1E">
        <w:t>There are eight locations where distribution line crossovers within 50m of a GDE, which includes Wimmera River</w:t>
      </w:r>
      <w:r w:rsidR="00D451F5" w:rsidRPr="0AE81A1E">
        <w:t xml:space="preserve"> and</w:t>
      </w:r>
      <w:r w:rsidRPr="0AE81A1E">
        <w:t xml:space="preserve"> Glenlofty Creek</w:t>
      </w:r>
      <w:r w:rsidR="00D451F5" w:rsidRPr="0AE81A1E">
        <w:t xml:space="preserve"> in the western portion of the study area;</w:t>
      </w:r>
      <w:r w:rsidRPr="0AE81A1E">
        <w:t xml:space="preserve"> Birch Creek</w:t>
      </w:r>
      <w:r w:rsidR="00D451F5" w:rsidRPr="0AE81A1E">
        <w:t xml:space="preserve"> and</w:t>
      </w:r>
      <w:r w:rsidRPr="0AE81A1E">
        <w:t xml:space="preserve"> Creswick Creek</w:t>
      </w:r>
      <w:r w:rsidR="00D451F5" w:rsidRPr="0AE81A1E">
        <w:t xml:space="preserve"> in the eastern section of the study area;</w:t>
      </w:r>
      <w:r w:rsidRPr="0AE81A1E">
        <w:t xml:space="preserve"> Korkuperrimul Creek </w:t>
      </w:r>
      <w:r w:rsidR="00D451F5" w:rsidRPr="0AE81A1E">
        <w:t xml:space="preserve">in the eastern section of the study area; </w:t>
      </w:r>
      <w:r w:rsidRPr="0AE81A1E">
        <w:t>and two wetlands</w:t>
      </w:r>
      <w:r w:rsidR="00D451F5" w:rsidRPr="0AE81A1E">
        <w:t xml:space="preserve"> (one in the eastern section and one in the central section of the study area)</w:t>
      </w:r>
      <w:r w:rsidRPr="0AE81A1E">
        <w:t xml:space="preserve">. The management of the interaction will be dependent on the location and construction method proposed for crossover works. </w:t>
      </w:r>
      <w:r w:rsidR="006B7450" w:rsidRPr="0AE81A1E">
        <w:t>If</w:t>
      </w:r>
      <w:r w:rsidRPr="0AE81A1E">
        <w:t xml:space="preserve"> dewatering is required, the potential impacts to GDEs will be </w:t>
      </w:r>
      <w:r w:rsidR="006B7450" w:rsidRPr="0AE81A1E">
        <w:t>managed through</w:t>
      </w:r>
      <w:r w:rsidRPr="0AE81A1E">
        <w:t xml:space="preserve"> the Groundwater Management Plan (EPR GW2). </w:t>
      </w:r>
    </w:p>
    <w:p w14:paraId="6E8CA694" w14:textId="5149F678" w:rsidR="009107C4" w:rsidRDefault="00510A68" w:rsidP="00960A92">
      <w:r w:rsidRPr="0AE81A1E">
        <w:t>Similar to buffer zones discussed in</w:t>
      </w:r>
      <w:r w:rsidR="00E667F8" w:rsidRPr="0AE81A1E">
        <w:t xml:space="preserve"> </w:t>
      </w:r>
      <w:r w:rsidR="00E667F8">
        <w:fldChar w:fldCharType="begin"/>
      </w:r>
      <w:r w:rsidR="00E667F8">
        <w:instrText xml:space="preserve"> REF _Ref180963179 \r \h </w:instrText>
      </w:r>
      <w:r w:rsidR="00E667F8">
        <w:fldChar w:fldCharType="separate"/>
      </w:r>
      <w:r w:rsidR="00D83237">
        <w:t>24.4.3</w:t>
      </w:r>
      <w:r w:rsidR="00E667F8">
        <w:fldChar w:fldCharType="end"/>
      </w:r>
      <w:r w:rsidR="009107C4" w:rsidRPr="0AE81A1E">
        <w:t xml:space="preserve">, </w:t>
      </w:r>
      <w:r w:rsidR="00971EF4" w:rsidRPr="0AE81A1E">
        <w:t>buffer</w:t>
      </w:r>
      <w:r w:rsidR="00961C24" w:rsidRPr="0AE81A1E">
        <w:t xml:space="preserve"> zones </w:t>
      </w:r>
      <w:r w:rsidRPr="0AE81A1E">
        <w:t xml:space="preserve">to aquatic GDEs </w:t>
      </w:r>
      <w:r w:rsidR="009107C4" w:rsidRPr="0AE81A1E">
        <w:t xml:space="preserve">are </w:t>
      </w:r>
      <w:r w:rsidR="004C5824" w:rsidRPr="0AE81A1E">
        <w:t>to</w:t>
      </w:r>
      <w:r w:rsidR="00971EF4" w:rsidRPr="0AE81A1E">
        <w:t xml:space="preserve"> be considered</w:t>
      </w:r>
      <w:r w:rsidR="004C5824" w:rsidRPr="0AE81A1E">
        <w:t xml:space="preserve"> </w:t>
      </w:r>
      <w:r w:rsidR="00971EF4" w:rsidRPr="0AE81A1E">
        <w:t>for transmission towers, distribution line crossovers and below ground works at terminal station</w:t>
      </w:r>
      <w:r w:rsidR="004C5824" w:rsidRPr="0AE81A1E">
        <w:t>s</w:t>
      </w:r>
      <w:r w:rsidR="00BE0A29" w:rsidRPr="0AE81A1E">
        <w:t xml:space="preserve"> (</w:t>
      </w:r>
      <w:r w:rsidR="00BE0A29">
        <w:fldChar w:fldCharType="begin"/>
      </w:r>
      <w:r w:rsidR="00BE0A29">
        <w:instrText xml:space="preserve"> REF _Ref179808540 \h </w:instrText>
      </w:r>
      <w:r w:rsidR="00BE0A29">
        <w:fldChar w:fldCharType="separate"/>
      </w:r>
      <w:r w:rsidR="00BD3768" w:rsidRPr="009038E7">
        <w:t>Table</w:t>
      </w:r>
      <w:r w:rsidR="00BD3768">
        <w:t> </w:t>
      </w:r>
      <w:r w:rsidR="00BD3768">
        <w:rPr>
          <w:noProof/>
        </w:rPr>
        <w:t>24</w:t>
      </w:r>
      <w:r w:rsidR="00BD3768">
        <w:t>.</w:t>
      </w:r>
      <w:r w:rsidR="00BD3768">
        <w:rPr>
          <w:noProof/>
        </w:rPr>
        <w:t>3</w:t>
      </w:r>
      <w:r w:rsidR="00BE0A29">
        <w:fldChar w:fldCharType="end"/>
      </w:r>
      <w:r w:rsidR="00BE0A29" w:rsidRPr="0AE81A1E">
        <w:t>)</w:t>
      </w:r>
      <w:r w:rsidR="00971EF4" w:rsidRPr="0AE81A1E">
        <w:t>.</w:t>
      </w:r>
      <w:r w:rsidR="00355121" w:rsidRPr="0AE81A1E">
        <w:t xml:space="preserve"> </w:t>
      </w:r>
      <w:r w:rsidR="00370608" w:rsidRPr="0AE81A1E">
        <w:t>B</w:t>
      </w:r>
      <w:r w:rsidR="00355121" w:rsidRPr="0AE81A1E">
        <w:t>uffers</w:t>
      </w:r>
      <w:r w:rsidR="006B2DBB" w:rsidRPr="0AE81A1E">
        <w:t xml:space="preserve"> will serve to protect GDEs</w:t>
      </w:r>
      <w:r w:rsidR="00FA49EE" w:rsidRPr="0AE81A1E">
        <w:t>, minimising the potential for</w:t>
      </w:r>
      <w:r w:rsidR="00DE13A5" w:rsidRPr="0AE81A1E">
        <w:t xml:space="preserve"> physical</w:t>
      </w:r>
      <w:r w:rsidR="00FA49EE" w:rsidRPr="0AE81A1E">
        <w:t xml:space="preserve"> impacts.</w:t>
      </w:r>
      <w:r w:rsidR="00971EF4" w:rsidRPr="0AE81A1E">
        <w:t xml:space="preserve"> If planned works will be within the specified buffers, a site-specific groundwater assessment </w:t>
      </w:r>
      <w:r w:rsidR="00787E92" w:rsidRPr="0AE81A1E">
        <w:t xml:space="preserve">will be conducted by the Principal Contractor </w:t>
      </w:r>
      <w:r w:rsidR="00971EF4" w:rsidRPr="0AE81A1E">
        <w:t xml:space="preserve">to evaluate potential for physical impact. If </w:t>
      </w:r>
      <w:r w:rsidR="00602020" w:rsidRPr="0AE81A1E">
        <w:t xml:space="preserve">an </w:t>
      </w:r>
      <w:r w:rsidR="00971EF4" w:rsidRPr="0AE81A1E">
        <w:t>impact is identified,</w:t>
      </w:r>
      <w:r w:rsidR="00787E92" w:rsidRPr="0AE81A1E">
        <w:t xml:space="preserve"> </w:t>
      </w:r>
      <w:r w:rsidR="00971EF4" w:rsidRPr="0AE81A1E">
        <w:t>site-specific monitoring and mitigation strategies</w:t>
      </w:r>
      <w:r w:rsidR="00787E92" w:rsidRPr="0AE81A1E">
        <w:t xml:space="preserve"> will be implemented (EPR GW1)</w:t>
      </w:r>
      <w:r w:rsidR="0038681A">
        <w:t xml:space="preserve"> to reduce the extent and magnitude of the impact</w:t>
      </w:r>
      <w:r w:rsidR="00971EF4" w:rsidRPr="0AE81A1E">
        <w:t>. The</w:t>
      </w:r>
      <w:r w:rsidR="00787E92" w:rsidRPr="0AE81A1E">
        <w:t>se</w:t>
      </w:r>
      <w:r w:rsidR="00971EF4" w:rsidRPr="0AE81A1E">
        <w:t xml:space="preserve"> buffe</w:t>
      </w:r>
      <w:r w:rsidR="001A3DBC" w:rsidRPr="0AE81A1E">
        <w:t>r</w:t>
      </w:r>
      <w:r w:rsidR="00787E92" w:rsidRPr="0AE81A1E">
        <w:t xml:space="preserve"> zone</w:t>
      </w:r>
      <w:r w:rsidR="00971EF4" w:rsidRPr="0AE81A1E">
        <w:t>s are for physical distancing only and do not consider dewatering impacts</w:t>
      </w:r>
      <w:r w:rsidR="007A40E2" w:rsidRPr="0AE81A1E">
        <w:t>.</w:t>
      </w:r>
      <w:r w:rsidR="00960A92" w:rsidRPr="0AE81A1E">
        <w:t xml:space="preserve"> </w:t>
      </w:r>
    </w:p>
    <w:p w14:paraId="576C72CF" w14:textId="2D5036A3" w:rsidR="00AC0A47" w:rsidRPr="00ED43A0" w:rsidRDefault="00826EE9" w:rsidP="00826EE9">
      <w:pPr>
        <w:pStyle w:val="Caption"/>
      </w:pPr>
      <w:bookmarkStart w:id="37" w:name="_Ref179808540"/>
      <w:bookmarkStart w:id="38" w:name="_Ref106194965"/>
      <w:bookmarkStart w:id="39" w:name="_Toc121824778"/>
      <w:r w:rsidRPr="009038E7">
        <w:t>Table</w:t>
      </w:r>
      <w:r>
        <w:t> </w:t>
      </w:r>
      <w:r>
        <w:fldChar w:fldCharType="begin"/>
      </w:r>
      <w:r>
        <w:instrText>STYLEREF 1 \s</w:instrText>
      </w:r>
      <w:r>
        <w:fldChar w:fldCharType="separate"/>
      </w:r>
      <w:r w:rsidR="00D83237">
        <w:rPr>
          <w:noProof/>
        </w:rPr>
        <w:t>24</w:t>
      </w:r>
      <w:r>
        <w:fldChar w:fldCharType="end"/>
      </w:r>
      <w:r w:rsidR="00BD3768">
        <w:t>.</w:t>
      </w:r>
      <w:r>
        <w:fldChar w:fldCharType="begin"/>
      </w:r>
      <w:r>
        <w:instrText>SEQ Table \* ARABIC \s 1</w:instrText>
      </w:r>
      <w:r>
        <w:fldChar w:fldCharType="separate"/>
      </w:r>
      <w:r w:rsidR="00D83237">
        <w:rPr>
          <w:noProof/>
        </w:rPr>
        <w:t>3</w:t>
      </w:r>
      <w:r>
        <w:fldChar w:fldCharType="end"/>
      </w:r>
      <w:bookmarkEnd w:id="37"/>
      <w:r w:rsidRPr="009038E7">
        <w:t xml:space="preserve"> </w:t>
      </w:r>
      <w:r>
        <w:t xml:space="preserve">Siting of works to minimise potential for direct physical impact of construction on </w:t>
      </w:r>
      <w:r w:rsidR="00DC54CB">
        <w:t>GDEs</w:t>
      </w:r>
      <w:bookmarkEnd w:id="38"/>
      <w:r w:rsidR="00971EF4" w:rsidRPr="00971EF4" w:rsidDel="00971EF4">
        <w:t xml:space="preserve"> </w:t>
      </w:r>
      <w:bookmarkEnd w:id="39"/>
    </w:p>
    <w:tbl>
      <w:tblPr>
        <w:tblStyle w:val="WVTTable2"/>
        <w:tblW w:w="5000" w:type="pct"/>
        <w:tblLook w:val="04A0" w:firstRow="1" w:lastRow="0" w:firstColumn="1" w:lastColumn="0" w:noHBand="0" w:noVBand="1"/>
      </w:tblPr>
      <w:tblGrid>
        <w:gridCol w:w="1457"/>
        <w:gridCol w:w="7613"/>
      </w:tblGrid>
      <w:tr w:rsidR="00826EE9" w:rsidRPr="00826EE9" w14:paraId="548BB29A" w14:textId="77777777" w:rsidTr="00C3789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3" w:type="pct"/>
          </w:tcPr>
          <w:p w14:paraId="3FF4AFF8" w14:textId="20E584BB" w:rsidR="00AC0A47" w:rsidRPr="00456A6D" w:rsidRDefault="00AC0A47" w:rsidP="000059BF">
            <w:pPr>
              <w:pStyle w:val="TableText"/>
            </w:pPr>
            <w:r w:rsidRPr="00456A6D">
              <w:t>Category</w:t>
            </w:r>
          </w:p>
        </w:tc>
        <w:tc>
          <w:tcPr>
            <w:tcW w:w="4197" w:type="pct"/>
          </w:tcPr>
          <w:p w14:paraId="290F8C72" w14:textId="5B76AFB8" w:rsidR="00AC0A47" w:rsidRPr="00456A6D" w:rsidRDefault="00AC0A47" w:rsidP="000059BF">
            <w:pPr>
              <w:pStyle w:val="TableText"/>
              <w:cnfStyle w:val="100000000000" w:firstRow="1" w:lastRow="0" w:firstColumn="0" w:lastColumn="0" w:oddVBand="0" w:evenVBand="0" w:oddHBand="0" w:evenHBand="0" w:firstRowFirstColumn="0" w:firstRowLastColumn="0" w:lastRowFirstColumn="0" w:lastRowLastColumn="0"/>
            </w:pPr>
            <w:r w:rsidRPr="00456A6D">
              <w:t>Siting of works</w:t>
            </w:r>
          </w:p>
        </w:tc>
      </w:tr>
      <w:tr w:rsidR="00AC0A47" w14:paraId="7DB42ACB" w14:textId="77777777" w:rsidTr="00C37891">
        <w:trPr>
          <w:trHeight w:val="20"/>
        </w:trPr>
        <w:tc>
          <w:tcPr>
            <w:cnfStyle w:val="001000000000" w:firstRow="0" w:lastRow="0" w:firstColumn="1" w:lastColumn="0" w:oddVBand="0" w:evenVBand="0" w:oddHBand="0" w:evenHBand="0" w:firstRowFirstColumn="0" w:firstRowLastColumn="0" w:lastRowFirstColumn="0" w:lastRowLastColumn="0"/>
            <w:tcW w:w="803" w:type="pct"/>
          </w:tcPr>
          <w:p w14:paraId="4514A789" w14:textId="360DB7B6" w:rsidR="00AC0A47" w:rsidRPr="00456A6D" w:rsidRDefault="00AC0A47" w:rsidP="000059BF">
            <w:pPr>
              <w:pStyle w:val="TableText"/>
            </w:pPr>
            <w:r w:rsidRPr="00456A6D">
              <w:t>Aquatic GDEs</w:t>
            </w:r>
          </w:p>
        </w:tc>
        <w:tc>
          <w:tcPr>
            <w:tcW w:w="4197" w:type="pct"/>
          </w:tcPr>
          <w:p w14:paraId="446BFC20" w14:textId="4F554E55" w:rsidR="00AC0A47" w:rsidRPr="00456A6D" w:rsidRDefault="00AC0A47" w:rsidP="000059BF">
            <w:pPr>
              <w:pStyle w:val="TableText"/>
              <w:cnfStyle w:val="000000000000" w:firstRow="0" w:lastRow="0" w:firstColumn="0" w:lastColumn="0" w:oddVBand="0" w:evenVBand="0" w:oddHBand="0" w:evenHBand="0" w:firstRowFirstColumn="0" w:firstRowLastColumn="0" w:lastRowFirstColumn="0" w:lastRowLastColumn="0"/>
            </w:pPr>
            <w:r w:rsidRPr="0AE81A1E">
              <w:t>50m (or the relevant waterway distance identified in EPR SW1, whichever is greater)</w:t>
            </w:r>
          </w:p>
        </w:tc>
      </w:tr>
    </w:tbl>
    <w:p w14:paraId="56F1C65A" w14:textId="0E46A13F" w:rsidR="006C5D61" w:rsidRDefault="006B7450" w:rsidP="00C37891">
      <w:pPr>
        <w:spacing w:before="240"/>
      </w:pPr>
      <w:r w:rsidRPr="0AE81A1E">
        <w:t>W</w:t>
      </w:r>
      <w:r w:rsidR="006C5D61" w:rsidRPr="0AE81A1E">
        <w:t>ith the application of mitigations through EPR GW1 (</w:t>
      </w:r>
      <w:r w:rsidR="002D4D99" w:rsidRPr="002D4D99">
        <w:t xml:space="preserve">site </w:t>
      </w:r>
      <w:r w:rsidR="006C5D61" w:rsidRPr="0AE81A1E">
        <w:t xml:space="preserve">works to reduce potential of direct physical impact to groundwater receptors) and EPR GW2 (Groundwater Management Plan) the residual impact to GDEs is negligible.  </w:t>
      </w:r>
    </w:p>
    <w:p w14:paraId="72032380" w14:textId="46123752" w:rsidR="00CC69F9" w:rsidRDefault="00CC69F9" w:rsidP="00FE4FB0">
      <w:pPr>
        <w:pStyle w:val="Heading2"/>
      </w:pPr>
      <w:bookmarkStart w:id="40" w:name="_Toc201047267"/>
      <w:r>
        <w:t>Operation impact</w:t>
      </w:r>
      <w:r w:rsidR="009A129C">
        <w:t>s</w:t>
      </w:r>
      <w:bookmarkEnd w:id="40"/>
      <w:r>
        <w:t xml:space="preserve"> </w:t>
      </w:r>
    </w:p>
    <w:p w14:paraId="0F341936" w14:textId="11AC96CA" w:rsidR="003755DE" w:rsidRDefault="00CC69F9" w:rsidP="00CC69F9">
      <w:r w:rsidRPr="0AE81A1E">
        <w:t xml:space="preserve">This section outlines the key </w:t>
      </w:r>
      <w:r w:rsidR="00CF7B2A" w:rsidRPr="0AE81A1E">
        <w:t xml:space="preserve">issues </w:t>
      </w:r>
      <w:r w:rsidRPr="0AE81A1E">
        <w:t>identified through the risk screening process and associated</w:t>
      </w:r>
      <w:r w:rsidR="00BB45F8">
        <w:t xml:space="preserve"> potential</w:t>
      </w:r>
      <w:r w:rsidRPr="0AE81A1E">
        <w:t xml:space="preserve"> impacts during the </w:t>
      </w:r>
      <w:r w:rsidR="00224FEB" w:rsidRPr="0AE81A1E">
        <w:t>operation</w:t>
      </w:r>
      <w:r w:rsidRPr="0AE81A1E">
        <w:t xml:space="preserve"> of the Project</w:t>
      </w:r>
      <w:r w:rsidR="004B7C9A" w:rsidRPr="0AE81A1E">
        <w:t xml:space="preserve">. </w:t>
      </w:r>
      <w:r w:rsidR="00810DCD" w:rsidRPr="0AE81A1E">
        <w:t xml:space="preserve">The key issues and impacts identified for </w:t>
      </w:r>
      <w:r w:rsidR="003755DE" w:rsidRPr="0AE81A1E">
        <w:t>groundwater</w:t>
      </w:r>
      <w:r w:rsidR="00810DCD" w:rsidRPr="0AE81A1E">
        <w:t xml:space="preserve"> are </w:t>
      </w:r>
      <w:r w:rsidR="003E76E1">
        <w:t>discussed</w:t>
      </w:r>
      <w:r w:rsidR="003E76E1" w:rsidRPr="0AE81A1E">
        <w:t xml:space="preserve"> </w:t>
      </w:r>
      <w:r w:rsidR="00810DCD" w:rsidRPr="0AE81A1E">
        <w:t>according to the following themes</w:t>
      </w:r>
      <w:r w:rsidR="003755DE" w:rsidRPr="0AE81A1E">
        <w:t>:</w:t>
      </w:r>
    </w:p>
    <w:p w14:paraId="417DCBEB" w14:textId="4D3B1D21" w:rsidR="003755DE" w:rsidRPr="003660CE" w:rsidRDefault="003755DE" w:rsidP="003755DE">
      <w:pPr>
        <w:pStyle w:val="ListBullet"/>
      </w:pPr>
      <w:r>
        <w:t>Groundwater recharge</w:t>
      </w:r>
      <w:r w:rsidR="00CC43CB">
        <w:t xml:space="preserve">: </w:t>
      </w:r>
      <w:r w:rsidR="007C0479">
        <w:t>t</w:t>
      </w:r>
      <w:r w:rsidR="00CC43CB">
        <w:t>he addition of infrastructure and (impervious) surfaces, could reduce groundwater recharge rates</w:t>
      </w:r>
      <w:r w:rsidR="00DF0990">
        <w:t>.</w:t>
      </w:r>
    </w:p>
    <w:p w14:paraId="1204BB62" w14:textId="1F47E854" w:rsidR="003755DE" w:rsidRDefault="003755DE" w:rsidP="003755DE">
      <w:pPr>
        <w:pStyle w:val="ListBullet"/>
      </w:pPr>
      <w:r>
        <w:t>Groundwater</w:t>
      </w:r>
      <w:r w:rsidR="00214DCC">
        <w:t xml:space="preserve"> </w:t>
      </w:r>
      <w:r w:rsidR="00CC43CB">
        <w:t xml:space="preserve">quality: inappropriate herbicide application, </w:t>
      </w:r>
      <w:r w:rsidR="005D2C9E">
        <w:t xml:space="preserve">and improper </w:t>
      </w:r>
      <w:r w:rsidR="00CC43CB">
        <w:t xml:space="preserve">storage and handling of </w:t>
      </w:r>
      <w:r w:rsidR="005D2C9E">
        <w:t xml:space="preserve">chemicals and </w:t>
      </w:r>
      <w:r w:rsidR="000C732E">
        <w:t xml:space="preserve">wastes and </w:t>
      </w:r>
      <w:r w:rsidR="00CC43CB">
        <w:t xml:space="preserve">chemicals </w:t>
      </w:r>
      <w:r w:rsidR="005D2C9E">
        <w:t xml:space="preserve">has the potential to cause contamination </w:t>
      </w:r>
      <w:r w:rsidR="00CC43CB">
        <w:t xml:space="preserve">at </w:t>
      </w:r>
      <w:r w:rsidR="005D2C9E">
        <w:t xml:space="preserve">the </w:t>
      </w:r>
      <w:r w:rsidR="00CC43CB">
        <w:t>terminal stations</w:t>
      </w:r>
      <w:r w:rsidR="005D2C9E">
        <w:t>.</w:t>
      </w:r>
    </w:p>
    <w:p w14:paraId="47F9D6E5" w14:textId="24A898F6" w:rsidR="003755DE" w:rsidRDefault="003755DE" w:rsidP="00B42FF4">
      <w:pPr>
        <w:pStyle w:val="Heading3"/>
      </w:pPr>
      <w:bookmarkStart w:id="41" w:name="_Toc201047268"/>
      <w:r w:rsidRPr="003755DE">
        <w:lastRenderedPageBreak/>
        <w:t>Groundwater recharge</w:t>
      </w:r>
      <w:bookmarkEnd w:id="41"/>
    </w:p>
    <w:p w14:paraId="58D551C1" w14:textId="38C2591D" w:rsidR="005F6405" w:rsidRDefault="005F6405" w:rsidP="00B42FF4">
      <w:pPr>
        <w:keepNext/>
        <w:keepLines/>
      </w:pPr>
      <w:r w:rsidRPr="0AE81A1E">
        <w:t xml:space="preserve">As discussed in Section </w:t>
      </w:r>
      <w:r>
        <w:fldChar w:fldCharType="begin"/>
      </w:r>
      <w:r>
        <w:instrText xml:space="preserve"> REF _Ref182377744 \n \h </w:instrText>
      </w:r>
      <w:r>
        <w:fldChar w:fldCharType="separate"/>
      </w:r>
      <w:r w:rsidR="00D83237">
        <w:t>24.4.1</w:t>
      </w:r>
      <w:r>
        <w:fldChar w:fldCharType="end"/>
      </w:r>
      <w:r w:rsidRPr="0AE81A1E">
        <w:t xml:space="preserve">, </w:t>
      </w:r>
      <w:r w:rsidR="0092788B" w:rsidRPr="0AE81A1E">
        <w:t xml:space="preserve">the </w:t>
      </w:r>
      <w:r w:rsidR="00B154A3" w:rsidRPr="0AE81A1E">
        <w:t xml:space="preserve">physical presence of above ground infrastructure that prevents rainfall infiltration to groundwater </w:t>
      </w:r>
      <w:r w:rsidR="00900951" w:rsidRPr="0AE81A1E">
        <w:t>has the potential to cause a reduction in rainfall recha</w:t>
      </w:r>
      <w:r w:rsidR="005A65DE" w:rsidRPr="0AE81A1E">
        <w:t>r</w:t>
      </w:r>
      <w:r w:rsidR="00900951" w:rsidRPr="0AE81A1E">
        <w:t xml:space="preserve">ge to the aquifer. </w:t>
      </w:r>
      <w:r w:rsidR="00846128" w:rsidRPr="0AE81A1E">
        <w:t>In the absence of mitigation</w:t>
      </w:r>
      <w:r w:rsidR="001C0B22" w:rsidRPr="0AE81A1E">
        <w:t>, this could result in a decline in groundwater level impacting groundwater users, values, and the health of surrounding GDEs.</w:t>
      </w:r>
    </w:p>
    <w:p w14:paraId="0E3BF9CD" w14:textId="22F5CC0B" w:rsidR="000C732E" w:rsidRDefault="003A7AC7" w:rsidP="003755DE">
      <w:r w:rsidRPr="0AE81A1E">
        <w:t>However, t</w:t>
      </w:r>
      <w:r w:rsidR="003755DE" w:rsidRPr="0AE81A1E">
        <w:t xml:space="preserve">he small area of these surfaces </w:t>
      </w:r>
      <w:r w:rsidR="00787E92" w:rsidRPr="0AE81A1E">
        <w:t xml:space="preserve">compared </w:t>
      </w:r>
      <w:r w:rsidR="003755DE" w:rsidRPr="0AE81A1E">
        <w:t xml:space="preserve">to the regional scale of the aquifers means that any </w:t>
      </w:r>
      <w:r w:rsidR="00787E92" w:rsidRPr="0AE81A1E">
        <w:t>decrease</w:t>
      </w:r>
      <w:r w:rsidR="003755DE" w:rsidRPr="0AE81A1E">
        <w:t xml:space="preserve"> in </w:t>
      </w:r>
      <w:r w:rsidR="00787E92" w:rsidRPr="0AE81A1E">
        <w:t xml:space="preserve">groundwater </w:t>
      </w:r>
      <w:r w:rsidR="003755DE" w:rsidRPr="0AE81A1E">
        <w:t xml:space="preserve">recharge is expected to have a negligible </w:t>
      </w:r>
      <w:r w:rsidR="00193DD6" w:rsidRPr="0AE81A1E">
        <w:t xml:space="preserve">impact </w:t>
      </w:r>
      <w:r w:rsidR="003755DE" w:rsidRPr="0AE81A1E">
        <w:t xml:space="preserve">on broader groundwater recharge processes and groundwater </w:t>
      </w:r>
      <w:r w:rsidR="000B4586" w:rsidRPr="0AE81A1E">
        <w:t>values</w:t>
      </w:r>
      <w:r w:rsidR="003755DE" w:rsidRPr="0AE81A1E">
        <w:t>.</w:t>
      </w:r>
      <w:r w:rsidR="005165D9" w:rsidRPr="0AE81A1E">
        <w:t xml:space="preserve"> As such, no specific mitigation strategies are required</w:t>
      </w:r>
      <w:r w:rsidR="00613CBB" w:rsidRPr="0AE81A1E">
        <w:t xml:space="preserve"> and residual impacts to the environmental value of groundwater are negligible.</w:t>
      </w:r>
    </w:p>
    <w:p w14:paraId="72607A8A" w14:textId="0C1A528E" w:rsidR="003755DE" w:rsidRPr="003755DE" w:rsidRDefault="003755DE" w:rsidP="0045702E">
      <w:pPr>
        <w:pStyle w:val="Heading3"/>
      </w:pPr>
      <w:bookmarkStart w:id="42" w:name="_Toc201047269"/>
      <w:r w:rsidRPr="003755DE">
        <w:t xml:space="preserve">Groundwater </w:t>
      </w:r>
      <w:r w:rsidR="00CC43CB">
        <w:t>quality</w:t>
      </w:r>
      <w:bookmarkEnd w:id="42"/>
    </w:p>
    <w:p w14:paraId="27F8C91D" w14:textId="0F80149F" w:rsidR="000C732E" w:rsidRDefault="003C0729" w:rsidP="003755DE">
      <w:r>
        <w:t xml:space="preserve">During operation, </w:t>
      </w:r>
      <w:r w:rsidR="008A7E90">
        <w:t xml:space="preserve">vegetation growth at terminal station sites and within the transmission line easement will be </w:t>
      </w:r>
      <w:r w:rsidR="001C5F5A">
        <w:t>managed using herbicides</w:t>
      </w:r>
      <w:r w:rsidR="0052526E">
        <w:t xml:space="preserve">, which </w:t>
      </w:r>
      <w:r w:rsidR="00421AF0" w:rsidRPr="00421AF0">
        <w:t xml:space="preserve">has the potential to introduce contaminants to groundwater. In addition, the storage of chemicals </w:t>
      </w:r>
      <w:r w:rsidR="0052526E">
        <w:t xml:space="preserve">and </w:t>
      </w:r>
      <w:r w:rsidR="00350934">
        <w:t xml:space="preserve">management of onsite wastewater storages </w:t>
      </w:r>
      <w:r w:rsidR="00421AF0" w:rsidRPr="00421AF0">
        <w:t xml:space="preserve">at terminal </w:t>
      </w:r>
      <w:r w:rsidR="005D2C9E">
        <w:t xml:space="preserve">stations </w:t>
      </w:r>
      <w:r w:rsidR="00350934">
        <w:t xml:space="preserve">could </w:t>
      </w:r>
      <w:r w:rsidR="001051CB">
        <w:t>result in groundwater contamination through</w:t>
      </w:r>
      <w:r w:rsidR="00421AF0" w:rsidRPr="00421AF0">
        <w:t xml:space="preserve"> leaks and spills.</w:t>
      </w:r>
    </w:p>
    <w:p w14:paraId="372D223C" w14:textId="691FAF5A" w:rsidR="00D56C89" w:rsidRDefault="008A4DDC" w:rsidP="000059BF">
      <w:r w:rsidRPr="0AE81A1E">
        <w:t xml:space="preserve">Industry standard avoidance and mitigation measures for herbicide application, liquid storage and handling, and on-site wastewater storages will be used to prevent herbicides or effluent from onsite wastewater storages from entering groundwater, or to minimise the volume of a leak or spill that would enter groundwater if a leak or spill were to accidentally occur. </w:t>
      </w:r>
      <w:r w:rsidR="00175F34" w:rsidRPr="0AE81A1E">
        <w:t>Further, AusNet will operate the Project in accordance with existing</w:t>
      </w:r>
      <w:r w:rsidR="00275BF6" w:rsidRPr="0AE81A1E">
        <w:t xml:space="preserve"> AusNet</w:t>
      </w:r>
      <w:r w:rsidR="00175F34" w:rsidRPr="0AE81A1E">
        <w:t xml:space="preserve"> </w:t>
      </w:r>
      <w:r w:rsidR="00AF4E44" w:rsidRPr="0AE81A1E">
        <w:t xml:space="preserve">operational </w:t>
      </w:r>
      <w:r w:rsidR="003755DE" w:rsidRPr="0AE81A1E">
        <w:t>procedures</w:t>
      </w:r>
      <w:r w:rsidR="00E93550" w:rsidRPr="0AE81A1E">
        <w:t xml:space="preserve">, which </w:t>
      </w:r>
      <w:r w:rsidR="00035EF1" w:rsidRPr="0AE81A1E">
        <w:t xml:space="preserve">provide avoidance and mitigation measures to protect groundwater quality, </w:t>
      </w:r>
      <w:r w:rsidR="00AF4E44" w:rsidRPr="0AE81A1E">
        <w:t>cover</w:t>
      </w:r>
      <w:r w:rsidR="00035EF1" w:rsidRPr="0AE81A1E">
        <w:t>ing</w:t>
      </w:r>
      <w:r w:rsidR="00AF4E44" w:rsidRPr="0AE81A1E">
        <w:t xml:space="preserve"> </w:t>
      </w:r>
      <w:r w:rsidR="00035EF1" w:rsidRPr="0AE81A1E">
        <w:t xml:space="preserve">the areas of </w:t>
      </w:r>
      <w:r w:rsidR="00AF4E44" w:rsidRPr="0AE81A1E">
        <w:t>vegetation management, storage and handling of waste and chemical spill management</w:t>
      </w:r>
      <w:r w:rsidR="00035EF1" w:rsidRPr="0AE81A1E">
        <w:t>.</w:t>
      </w:r>
      <w:r w:rsidR="00AF4E44" w:rsidRPr="0AE81A1E">
        <w:t xml:space="preserve"> </w:t>
      </w:r>
    </w:p>
    <w:p w14:paraId="101C4AB4" w14:textId="0C807E39" w:rsidR="00AC0A47" w:rsidRPr="003755DE" w:rsidRDefault="00AC0A47" w:rsidP="00AC0A47">
      <w:r w:rsidRPr="00AC0A47">
        <w:t xml:space="preserve">Residual impacts to groundwater </w:t>
      </w:r>
      <w:r>
        <w:t>quality</w:t>
      </w:r>
      <w:r w:rsidRPr="00AC0A47">
        <w:t xml:space="preserve"> from </w:t>
      </w:r>
      <w:r>
        <w:t>operational</w:t>
      </w:r>
      <w:r w:rsidRPr="00AC0A47">
        <w:t xml:space="preserve"> activities are expected to be negligible.</w:t>
      </w:r>
    </w:p>
    <w:p w14:paraId="7A6CB327" w14:textId="727CF6E6" w:rsidR="00BA099B" w:rsidRDefault="00BA099B" w:rsidP="00FE4FB0">
      <w:pPr>
        <w:pStyle w:val="Heading2"/>
      </w:pPr>
      <w:bookmarkStart w:id="43" w:name="_Toc201047270"/>
      <w:r>
        <w:t>Decommissioning impact</w:t>
      </w:r>
      <w:r w:rsidR="009A129C">
        <w:t>s</w:t>
      </w:r>
      <w:bookmarkEnd w:id="43"/>
      <w:r>
        <w:t xml:space="preserve"> </w:t>
      </w:r>
    </w:p>
    <w:p w14:paraId="1987ADCA" w14:textId="77777777" w:rsidR="00CA3F18" w:rsidRDefault="001F4E4A" w:rsidP="0AE81A1E">
      <w:bookmarkStart w:id="44" w:name="_Hlk183459658"/>
      <w:r w:rsidRPr="0AE81A1E">
        <w:t xml:space="preserve">There are no activities described in the decommissioning </w:t>
      </w:r>
      <w:r w:rsidR="00787E92" w:rsidRPr="0AE81A1E">
        <w:t xml:space="preserve">stage of the Project </w:t>
      </w:r>
      <w:r w:rsidRPr="0AE81A1E">
        <w:t xml:space="preserve">that are considered to have potential for impact to </w:t>
      </w:r>
      <w:bookmarkEnd w:id="44"/>
      <w:r w:rsidRPr="0AE81A1E">
        <w:t xml:space="preserve">groundwater level, flow, or quality. Tower and terminal station footings </w:t>
      </w:r>
      <w:r w:rsidR="00787E92" w:rsidRPr="0AE81A1E">
        <w:t xml:space="preserve">will </w:t>
      </w:r>
      <w:r w:rsidRPr="0AE81A1E">
        <w:t xml:space="preserve">typically </w:t>
      </w:r>
      <w:r w:rsidR="00787E92" w:rsidRPr="0AE81A1E">
        <w:t xml:space="preserve">be </w:t>
      </w:r>
      <w:r w:rsidRPr="0AE81A1E">
        <w:t>excavated to a maximum of 300mm below finished surface level</w:t>
      </w:r>
      <w:r w:rsidR="008A186E" w:rsidRPr="0AE81A1E">
        <w:t>,</w:t>
      </w:r>
      <w:r w:rsidRPr="0AE81A1E">
        <w:t xml:space="preserve"> hence decommissioning work will not encounter or interact with groundwater.</w:t>
      </w:r>
      <w:r w:rsidR="008A186E" w:rsidRPr="0AE81A1E">
        <w:t xml:space="preserve">  </w:t>
      </w:r>
    </w:p>
    <w:p w14:paraId="1996D2A4" w14:textId="30DF3FBD" w:rsidR="00EB3907" w:rsidRPr="006A7F24" w:rsidRDefault="00EB3907" w:rsidP="00EB3907">
      <w:r w:rsidRPr="006A7F24">
        <w:t xml:space="preserve">Accordingly, </w:t>
      </w:r>
      <w:r>
        <w:t>t</w:t>
      </w:r>
      <w:r w:rsidRPr="0AE81A1E">
        <w:t xml:space="preserve">he application of standard controls outlined in EPA Publication1834.1: Civil construction, building and demolition guide (EPA, 2023) would manage the potential for erosion, sedimentation and soil and groundwater contamination in accordance with the conditions of the time. </w:t>
      </w:r>
      <w:r w:rsidRPr="00700692">
        <w:t>This</w:t>
      </w:r>
      <w:r w:rsidRPr="006A7F24">
        <w:t xml:space="preserve"> would also be </w:t>
      </w:r>
      <w:r w:rsidRPr="0AE81A1E">
        <w:t>managed by a Decommissioning Management Plan (EPR EM</w:t>
      </w:r>
      <w:r w:rsidR="00BD3768">
        <w:t>11</w:t>
      </w:r>
      <w:r w:rsidRPr="0AE81A1E">
        <w:t>) which would include mitigation measures for groundwater protection.</w:t>
      </w:r>
    </w:p>
    <w:p w14:paraId="4CD477B1" w14:textId="603CA0B3" w:rsidR="006E0C4E" w:rsidRPr="00535E65" w:rsidRDefault="006E0C4E" w:rsidP="00CC69F9">
      <w:r>
        <w:t>Ba</w:t>
      </w:r>
      <w:bookmarkStart w:id="45" w:name="_Hlk183459697"/>
      <w:r>
        <w:t xml:space="preserve">sed on this, residual impacts </w:t>
      </w:r>
      <w:r w:rsidR="00C22814">
        <w:t xml:space="preserve">to groundwater from decommissioning </w:t>
      </w:r>
      <w:r>
        <w:t xml:space="preserve">are </w:t>
      </w:r>
      <w:r w:rsidR="00860309">
        <w:t xml:space="preserve">expected to </w:t>
      </w:r>
      <w:r w:rsidR="00340A76">
        <w:t>be negligible</w:t>
      </w:r>
      <w:r w:rsidR="00C22814">
        <w:t>.</w:t>
      </w:r>
      <w:bookmarkEnd w:id="45"/>
    </w:p>
    <w:p w14:paraId="732A12C2" w14:textId="5FB56F30" w:rsidR="00A12E33" w:rsidRDefault="00A12E33" w:rsidP="00FE4FB0">
      <w:pPr>
        <w:pStyle w:val="Heading2"/>
      </w:pPr>
      <w:bookmarkStart w:id="46" w:name="_Toc201047271"/>
      <w:r>
        <w:t>Cumulative impacts</w:t>
      </w:r>
      <w:bookmarkEnd w:id="46"/>
    </w:p>
    <w:p w14:paraId="281D9DB9" w14:textId="03A811D4" w:rsidR="00051E23" w:rsidRDefault="00540FB4" w:rsidP="007350F0">
      <w:bookmarkStart w:id="47" w:name="_Hlk183459773"/>
      <w:r w:rsidRPr="0AE81A1E">
        <w:t xml:space="preserve">Cumulative impacts </w:t>
      </w:r>
      <w:r w:rsidR="00C67945" w:rsidRPr="0AE81A1E">
        <w:t xml:space="preserve">have been </w:t>
      </w:r>
      <w:r w:rsidR="00520AE1" w:rsidRPr="0AE81A1E">
        <w:t>assessed</w:t>
      </w:r>
      <w:r w:rsidR="0017533E" w:rsidRPr="0AE81A1E">
        <w:t xml:space="preserve"> by identifying</w:t>
      </w:r>
      <w:r w:rsidR="00193DD6" w:rsidRPr="0AE81A1E">
        <w:t xml:space="preserve"> relevant future</w:t>
      </w:r>
      <w:r w:rsidR="0017533E" w:rsidRPr="0AE81A1E">
        <w:t xml:space="preserve"> projects that could contribute to cumulative impacts on </w:t>
      </w:r>
      <w:r w:rsidR="00C9119F" w:rsidRPr="0AE81A1E">
        <w:t>groundwater</w:t>
      </w:r>
      <w:r w:rsidR="002B4BF5" w:rsidRPr="0AE81A1E">
        <w:t xml:space="preserve"> </w:t>
      </w:r>
      <w:r w:rsidR="0017533E" w:rsidRPr="0AE81A1E">
        <w:t>values</w:t>
      </w:r>
      <w:r w:rsidR="00520AE1" w:rsidRPr="0AE81A1E">
        <w:t xml:space="preserve">, </w:t>
      </w:r>
      <w:r w:rsidR="00F609F3" w:rsidRPr="0AE81A1E">
        <w:t>considering</w:t>
      </w:r>
      <w:r w:rsidR="0017533E" w:rsidRPr="0AE81A1E">
        <w:t xml:space="preserve"> their spatial and temporal relationships to the </w:t>
      </w:r>
      <w:r w:rsidR="007350F0" w:rsidRPr="0AE81A1E">
        <w:t>Western Renewables Link Project</w:t>
      </w:r>
      <w:r w:rsidR="00F609F3" w:rsidRPr="0AE81A1E">
        <w:t xml:space="preserve">. </w:t>
      </w:r>
      <w:r w:rsidR="007350F0" w:rsidRPr="0AE81A1E">
        <w:t>The projects</w:t>
      </w:r>
      <w:r w:rsidR="00051E23" w:rsidRPr="0AE81A1E">
        <w:t xml:space="preserve"> considered as potentially relevant to groundwater include:</w:t>
      </w:r>
    </w:p>
    <w:bookmarkEnd w:id="47"/>
    <w:p w14:paraId="77C02E34" w14:textId="77777777" w:rsidR="00DF0990" w:rsidRDefault="00DF0990" w:rsidP="00B42FF4">
      <w:pPr>
        <w:pStyle w:val="ListBullet"/>
        <w:spacing w:after="120"/>
      </w:pPr>
      <w:r>
        <w:t>Elaine Battery Energy Storage System</w:t>
      </w:r>
    </w:p>
    <w:p w14:paraId="3E58D79F" w14:textId="136681A9" w:rsidR="00051E23" w:rsidRDefault="007350F0" w:rsidP="00B42FF4">
      <w:pPr>
        <w:pStyle w:val="ListBullet"/>
        <w:spacing w:after="120"/>
      </w:pPr>
      <w:r w:rsidRPr="00E467B0">
        <w:t>Elaine Solar Wind Farm</w:t>
      </w:r>
    </w:p>
    <w:p w14:paraId="5ECE14CC" w14:textId="77777777" w:rsidR="00DF0990" w:rsidRDefault="00DF0990" w:rsidP="00B42FF4">
      <w:pPr>
        <w:pStyle w:val="ListBullet"/>
        <w:spacing w:after="120"/>
      </w:pPr>
      <w:r w:rsidRPr="0AE81A1E">
        <w:t>Nyaninyuk Wind Farm</w:t>
      </w:r>
    </w:p>
    <w:p w14:paraId="7D33567F" w14:textId="0398DB82" w:rsidR="00B252B4" w:rsidRDefault="00B252B4" w:rsidP="00B42FF4">
      <w:pPr>
        <w:pStyle w:val="ListBullet"/>
        <w:spacing w:after="120"/>
      </w:pPr>
      <w:r>
        <w:t xml:space="preserve">Coimadai </w:t>
      </w:r>
      <w:r w:rsidR="00FD3D5E">
        <w:t xml:space="preserve">Sand </w:t>
      </w:r>
      <w:r>
        <w:t>Quarry</w:t>
      </w:r>
    </w:p>
    <w:p w14:paraId="662F90DE" w14:textId="77777777" w:rsidR="00DF0990" w:rsidRDefault="007350F0" w:rsidP="00B42FF4">
      <w:pPr>
        <w:pStyle w:val="ListBullet"/>
        <w:spacing w:after="120"/>
      </w:pPr>
      <w:r w:rsidRPr="0AE81A1E">
        <w:t>Toolern Solar Farm</w:t>
      </w:r>
      <w:r w:rsidR="00DF0990" w:rsidRPr="0AE81A1E">
        <w:t xml:space="preserve"> </w:t>
      </w:r>
    </w:p>
    <w:p w14:paraId="704D7CE0" w14:textId="109E7003" w:rsidR="00051E23" w:rsidRDefault="00DF0990" w:rsidP="00A328D3">
      <w:pPr>
        <w:pStyle w:val="ListBullet"/>
      </w:pPr>
      <w:r>
        <w:t>Victoria to New South Wales Interconnector West</w:t>
      </w:r>
      <w:r w:rsidR="00664D99">
        <w:t>.</w:t>
      </w:r>
    </w:p>
    <w:p w14:paraId="04380A9B" w14:textId="6B186443" w:rsidR="00E07406" w:rsidRPr="00C81B74" w:rsidRDefault="00051E23" w:rsidP="00B40C01">
      <w:pPr>
        <w:keepNext/>
        <w:keepLines/>
      </w:pPr>
      <w:r w:rsidRPr="0AE81A1E">
        <w:lastRenderedPageBreak/>
        <w:t xml:space="preserve">Potential cumulative impacts to </w:t>
      </w:r>
      <w:r w:rsidR="00EC6ECC" w:rsidRPr="0AE81A1E">
        <w:t>groundwater</w:t>
      </w:r>
      <w:r w:rsidRPr="0AE81A1E">
        <w:t xml:space="preserve"> can arise from earthworks occurring across multiple projects that may collectively impact </w:t>
      </w:r>
      <w:r w:rsidR="00EC6ECC" w:rsidRPr="0AE81A1E">
        <w:t>groundwater levels, flow, recharge and quality, and the availability of groundwater to bores and GDEs.</w:t>
      </w:r>
      <w:r w:rsidR="00E07406" w:rsidRPr="0AE81A1E">
        <w:t xml:space="preserve"> The groundwater impacts from each project are expected to be localised and temporary in nature, similar to the magnitude and duration of impacts expected for Western Renewables Link. When considered cumulatively, impacts would be minor.</w:t>
      </w:r>
    </w:p>
    <w:p w14:paraId="74845EF4" w14:textId="7C852D24" w:rsidR="001F60D8" w:rsidRPr="000059BF" w:rsidRDefault="005D2C9E" w:rsidP="001F60D8">
      <w:pPr>
        <w:rPr>
          <w:highlight w:val="yellow"/>
        </w:rPr>
      </w:pPr>
      <w:r>
        <w:t>C</w:t>
      </w:r>
      <w:r w:rsidR="00051E23" w:rsidRPr="00E07406">
        <w:t xml:space="preserve">umulative impacts of the </w:t>
      </w:r>
      <w:r w:rsidR="00741529">
        <w:t>r</w:t>
      </w:r>
      <w:r w:rsidR="00051E23" w:rsidRPr="00E07406">
        <w:t xml:space="preserve">elevant future projects </w:t>
      </w:r>
      <w:r>
        <w:t>will be</w:t>
      </w:r>
      <w:r w:rsidR="00051E23" w:rsidRPr="00E07406">
        <w:t xml:space="preserve"> managed effectively through avoidance, engineering and administrative controls and the potential for significantly adverse cumulative impact </w:t>
      </w:r>
      <w:r w:rsidR="00051E23" w:rsidRPr="005A65DE">
        <w:t xml:space="preserve">is </w:t>
      </w:r>
      <w:r>
        <w:t xml:space="preserve">expected to be </w:t>
      </w:r>
      <w:r w:rsidR="00EC6ECC" w:rsidRPr="000059BF">
        <w:t>minor</w:t>
      </w:r>
      <w:r w:rsidR="00051E23" w:rsidRPr="005A65DE">
        <w:t>.</w:t>
      </w:r>
      <w:r w:rsidR="00051E23" w:rsidRPr="00741529">
        <w:t xml:space="preserve"> </w:t>
      </w:r>
    </w:p>
    <w:p w14:paraId="5584622C" w14:textId="74260D12" w:rsidR="002E5D6E" w:rsidRPr="005A65DE" w:rsidRDefault="00CD04AF" w:rsidP="005A65DE">
      <w:pPr>
        <w:pStyle w:val="Heading2"/>
      </w:pPr>
      <w:bookmarkStart w:id="48" w:name="_Toc201047272"/>
      <w:r w:rsidRPr="005A65DE">
        <w:t xml:space="preserve">Environmental </w:t>
      </w:r>
      <w:r w:rsidR="00193DD6" w:rsidRPr="005A65DE">
        <w:t>P</w:t>
      </w:r>
      <w:r w:rsidR="002D7696" w:rsidRPr="005A65DE">
        <w:t xml:space="preserve">erformance </w:t>
      </w:r>
      <w:r w:rsidR="00193DD6" w:rsidRPr="005A65DE">
        <w:t>R</w:t>
      </w:r>
      <w:r w:rsidR="002D7696" w:rsidRPr="005A65DE">
        <w:t>equirements</w:t>
      </w:r>
      <w:bookmarkEnd w:id="48"/>
      <w:r w:rsidR="002E5D6E" w:rsidRPr="000059BF">
        <w:t xml:space="preserve"> </w:t>
      </w:r>
    </w:p>
    <w:p w14:paraId="6C6BA687" w14:textId="5A48B2AC" w:rsidR="00772353" w:rsidRDefault="00772353" w:rsidP="00772353">
      <w:bookmarkStart w:id="49" w:name="_Hlk183459906"/>
      <w:r w:rsidRPr="0AE81A1E">
        <w:t xml:space="preserve">Potential impacts identified through </w:t>
      </w:r>
      <w:r w:rsidR="008A186E" w:rsidRPr="0AE81A1E">
        <w:rPr>
          <w:b/>
          <w:bCs/>
        </w:rPr>
        <w:t xml:space="preserve">Technical Report S: </w:t>
      </w:r>
      <w:r w:rsidRPr="0AE81A1E">
        <w:rPr>
          <w:b/>
          <w:bCs/>
        </w:rPr>
        <w:t>Groundwater Impact Assessment</w:t>
      </w:r>
      <w:r w:rsidRPr="0AE81A1E">
        <w:t xml:space="preserve"> have informed the </w:t>
      </w:r>
      <w:r w:rsidR="00C96B01" w:rsidRPr="0AE81A1E">
        <w:t>development</w:t>
      </w:r>
      <w:r w:rsidRPr="0AE81A1E">
        <w:t xml:space="preserve"> of EPRs for the Project. </w:t>
      </w:r>
      <w:bookmarkStart w:id="50" w:name="_Hlk182313251"/>
      <w:r w:rsidR="00954FFE" w:rsidRPr="0AE81A1E">
        <w:t xml:space="preserve">EPRs set out the environmental outcomes to be achieved through the implementation of mitigation measures during construction, operation and decommissioning. While some EPRs are performance based to allow flexibility in how they will be achieved, others include more prescriptive measures that must be implemented. Compliance with the EPRs will be required as a condition of the Project’s approval. </w:t>
      </w:r>
      <w:r>
        <w:fldChar w:fldCharType="begin"/>
      </w:r>
      <w:r>
        <w:instrText xml:space="preserve"> REF _Ref190854375 \h </w:instrText>
      </w:r>
      <w:r>
        <w:fldChar w:fldCharType="separate"/>
      </w:r>
      <w:r w:rsidR="00BD3768">
        <w:t>Table </w:t>
      </w:r>
      <w:r w:rsidR="00BD3768">
        <w:rPr>
          <w:noProof/>
        </w:rPr>
        <w:t>24</w:t>
      </w:r>
      <w:r w:rsidR="00BD3768">
        <w:rPr>
          <w:rFonts w:cstheme="minorHAnsi"/>
          <w:bCs/>
        </w:rPr>
        <w:t>.</w:t>
      </w:r>
      <w:r w:rsidR="00BD3768">
        <w:rPr>
          <w:noProof/>
        </w:rPr>
        <w:t>4</w:t>
      </w:r>
      <w:r>
        <w:fldChar w:fldCharType="end"/>
      </w:r>
      <w:r w:rsidR="00954FFE" w:rsidRPr="0AE81A1E">
        <w:t xml:space="preserve"> details the proposed EPRs </w:t>
      </w:r>
      <w:r w:rsidR="00056C87">
        <w:t>developed</w:t>
      </w:r>
      <w:r w:rsidR="00954FFE" w:rsidRPr="0AE81A1E">
        <w:t xml:space="preserve"> </w:t>
      </w:r>
      <w:r w:rsidR="004E6BEB">
        <w:t xml:space="preserve">for </w:t>
      </w:r>
      <w:r w:rsidR="003728FC" w:rsidRPr="0AE81A1E">
        <w:t>groundwater.</w:t>
      </w:r>
      <w:bookmarkEnd w:id="50"/>
    </w:p>
    <w:p w14:paraId="513D6908" w14:textId="7A5BE677" w:rsidR="00296A6A" w:rsidRDefault="00296A6A" w:rsidP="005A42A0">
      <w:pPr>
        <w:pStyle w:val="Caption"/>
      </w:pPr>
      <w:bookmarkStart w:id="51" w:name="_Ref190854375"/>
      <w:r>
        <w:t>Table </w:t>
      </w:r>
      <w:r w:rsidRPr="2274C957">
        <w:fldChar w:fldCharType="begin"/>
      </w:r>
      <w:r>
        <w:instrText xml:space="preserve"> STYLEREF 1 \s </w:instrText>
      </w:r>
      <w:r w:rsidRPr="2274C957">
        <w:fldChar w:fldCharType="separate"/>
      </w:r>
      <w:r w:rsidR="00D83237">
        <w:rPr>
          <w:noProof/>
        </w:rPr>
        <w:t>24</w:t>
      </w:r>
      <w:r w:rsidRPr="2274C957">
        <w:rPr>
          <w:noProof/>
        </w:rPr>
        <w:fldChar w:fldCharType="end"/>
      </w:r>
      <w:r w:rsidR="00BD3768">
        <w:rPr>
          <w:rFonts w:cstheme="minorHAnsi"/>
          <w:bCs/>
        </w:rPr>
        <w:t>.</w:t>
      </w:r>
      <w:r w:rsidRPr="2274C957">
        <w:fldChar w:fldCharType="begin"/>
      </w:r>
      <w:r>
        <w:instrText xml:space="preserve"> SEQ Table \* ARABIC \s 1 </w:instrText>
      </w:r>
      <w:r w:rsidRPr="2274C957">
        <w:fldChar w:fldCharType="separate"/>
      </w:r>
      <w:r w:rsidR="00D83237">
        <w:rPr>
          <w:noProof/>
        </w:rPr>
        <w:t>4</w:t>
      </w:r>
      <w:r w:rsidRPr="2274C957">
        <w:rPr>
          <w:noProof/>
        </w:rPr>
        <w:fldChar w:fldCharType="end"/>
      </w:r>
      <w:bookmarkEnd w:id="51"/>
      <w:r>
        <w:t xml:space="preserve"> Environmental Performance Requirements</w:t>
      </w:r>
    </w:p>
    <w:tbl>
      <w:tblPr>
        <w:tblStyle w:val="WVTTable2"/>
        <w:tblW w:w="5000" w:type="pct"/>
        <w:tblLook w:val="04A0" w:firstRow="1" w:lastRow="0" w:firstColumn="1" w:lastColumn="0" w:noHBand="0" w:noVBand="1"/>
      </w:tblPr>
      <w:tblGrid>
        <w:gridCol w:w="693"/>
        <w:gridCol w:w="8377"/>
      </w:tblGrid>
      <w:tr w:rsidR="00D84B80" w:rsidRPr="00247990" w14:paraId="366DFE8D" w14:textId="77777777" w:rsidTr="00B42F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 w:type="pct"/>
          </w:tcPr>
          <w:p w14:paraId="0B2B73EA" w14:textId="77777777" w:rsidR="00D84B80" w:rsidRPr="00247990" w:rsidRDefault="00D84B80" w:rsidP="00F63057">
            <w:pPr>
              <w:pStyle w:val="TableText"/>
            </w:pPr>
            <w:r w:rsidRPr="00247990">
              <w:t>EPR code</w:t>
            </w:r>
          </w:p>
        </w:tc>
        <w:tc>
          <w:tcPr>
            <w:tcW w:w="4618" w:type="pct"/>
          </w:tcPr>
          <w:p w14:paraId="1D0A7D1A" w14:textId="77777777" w:rsidR="00D84B80" w:rsidRPr="00247990" w:rsidRDefault="00D84B80" w:rsidP="00F63057">
            <w:pPr>
              <w:pStyle w:val="TableText"/>
              <w:cnfStyle w:val="100000000000" w:firstRow="1" w:lastRow="0" w:firstColumn="0" w:lastColumn="0" w:oddVBand="0" w:evenVBand="0" w:oddHBand="0" w:evenHBand="0" w:firstRowFirstColumn="0" w:firstRowLastColumn="0" w:lastRowFirstColumn="0" w:lastRowLastColumn="0"/>
            </w:pPr>
            <w:r w:rsidRPr="00247990">
              <w:t>Requirement</w:t>
            </w:r>
          </w:p>
        </w:tc>
      </w:tr>
      <w:tr w:rsidR="00D84B80" w:rsidRPr="00247990" w14:paraId="7C23F8D6" w14:textId="77777777" w:rsidTr="00C37891">
        <w:tc>
          <w:tcPr>
            <w:cnfStyle w:val="001000000000" w:firstRow="0" w:lastRow="0" w:firstColumn="1" w:lastColumn="0" w:oddVBand="0" w:evenVBand="0" w:oddHBand="0" w:evenHBand="0" w:firstRowFirstColumn="0" w:firstRowLastColumn="0" w:lastRowFirstColumn="0" w:lastRowLastColumn="0"/>
            <w:tcW w:w="382" w:type="pct"/>
          </w:tcPr>
          <w:p w14:paraId="34CB323A" w14:textId="5DEEC824" w:rsidR="00D84B80" w:rsidRPr="00247990" w:rsidRDefault="00D84B80" w:rsidP="00F63057">
            <w:pPr>
              <w:pStyle w:val="TableText"/>
            </w:pPr>
            <w:r w:rsidRPr="008D7C28">
              <w:t xml:space="preserve">EPR </w:t>
            </w:r>
            <w:r>
              <w:t>GW1</w:t>
            </w:r>
          </w:p>
        </w:tc>
        <w:tc>
          <w:tcPr>
            <w:tcW w:w="4618" w:type="pct"/>
          </w:tcPr>
          <w:p w14:paraId="3F414C5F" w14:textId="481FFF18" w:rsidR="00BB3137" w:rsidRDefault="00BB3137" w:rsidP="00F63057">
            <w:pPr>
              <w:pStyle w:val="TableText"/>
              <w:cnfStyle w:val="000000000000" w:firstRow="0" w:lastRow="0" w:firstColumn="0" w:lastColumn="0" w:oddVBand="0" w:evenVBand="0" w:oddHBand="0" w:evenHBand="0" w:firstRowFirstColumn="0" w:firstRowLastColumn="0" w:lastRowFirstColumn="0" w:lastRowLastColumn="0"/>
              <w:rPr>
                <w:b/>
              </w:rPr>
            </w:pPr>
            <w:r w:rsidRPr="00BB3137">
              <w:rPr>
                <w:b/>
              </w:rPr>
              <w:t>Sit</w:t>
            </w:r>
            <w:r w:rsidR="003816C4">
              <w:rPr>
                <w:b/>
              </w:rPr>
              <w:t>e</w:t>
            </w:r>
            <w:r w:rsidRPr="00BB3137">
              <w:rPr>
                <w:b/>
              </w:rPr>
              <w:t xml:space="preserve"> works to reduce</w:t>
            </w:r>
            <w:r w:rsidR="00623190">
              <w:rPr>
                <w:b/>
              </w:rPr>
              <w:t xml:space="preserve"> the</w:t>
            </w:r>
            <w:r w:rsidRPr="00BB3137">
              <w:rPr>
                <w:b/>
              </w:rPr>
              <w:t xml:space="preserve"> potential of direct physical impact to groundwater receptors </w:t>
            </w:r>
          </w:p>
          <w:p w14:paraId="6A9ADA27" w14:textId="77777777" w:rsidR="003816C4" w:rsidRPr="00831583" w:rsidRDefault="003816C4" w:rsidP="00FD3336">
            <w:pPr>
              <w:pStyle w:val="TableNumbers"/>
              <w:numPr>
                <w:ilvl w:val="0"/>
                <w:numId w:val="82"/>
              </w:numPr>
              <w:cnfStyle w:val="000000000000" w:firstRow="0" w:lastRow="0" w:firstColumn="0" w:lastColumn="0" w:oddVBand="0" w:evenVBand="0" w:oddHBand="0" w:evenHBand="0" w:firstRowFirstColumn="0" w:firstRowLastColumn="0" w:lastRowFirstColumn="0" w:lastRowLastColumn="0"/>
            </w:pPr>
            <w:r w:rsidRPr="00831583">
              <w:t>Prior to commencement of construction, apply buffers around known and identified groundwater receptors (where practicable) to minimise potential for direct physical impact of construction. These buffers are to apply to the construction of transmission towers, Powercor distribution line crossovers and below ground works at terminal stations. The buffer distances to be applied to groundwater receptors are as follows, noting they are for physical distancing only and do not consider dewatering impacts:</w:t>
            </w:r>
          </w:p>
          <w:p w14:paraId="51AFE80D" w14:textId="77777777" w:rsidR="003816C4" w:rsidRPr="00831583" w:rsidRDefault="003816C4" w:rsidP="00FD3336">
            <w:pPr>
              <w:pStyle w:val="Tablenumbers2"/>
              <w:cnfStyle w:val="000000000000" w:firstRow="0" w:lastRow="0" w:firstColumn="0" w:lastColumn="0" w:oddVBand="0" w:evenVBand="0" w:oddHBand="0" w:evenHBand="0" w:firstRowFirstColumn="0" w:firstRowLastColumn="0" w:lastRowFirstColumn="0" w:lastRowLastColumn="0"/>
            </w:pPr>
            <w:r w:rsidRPr="00831583">
              <w:t xml:space="preserve">Bores (i.e., all extractive bores and excluding bores for monitoring specific purposes): 100m  </w:t>
            </w:r>
          </w:p>
          <w:p w14:paraId="64662B6A" w14:textId="77777777" w:rsidR="003816C4" w:rsidRPr="00831583" w:rsidRDefault="003816C4" w:rsidP="00FD3336">
            <w:pPr>
              <w:pStyle w:val="Tablenumbers2"/>
              <w:cnfStyle w:val="000000000000" w:firstRow="0" w:lastRow="0" w:firstColumn="0" w:lastColumn="0" w:oddVBand="0" w:evenVBand="0" w:oddHBand="0" w:evenHBand="0" w:firstRowFirstColumn="0" w:firstRowLastColumn="0" w:lastRowFirstColumn="0" w:lastRowLastColumn="0"/>
            </w:pPr>
            <w:r w:rsidRPr="00831583">
              <w:t xml:space="preserve">SOBN bores: 100m </w:t>
            </w:r>
          </w:p>
          <w:p w14:paraId="3E9C628A" w14:textId="77777777" w:rsidR="003816C4" w:rsidRPr="00FD3336" w:rsidRDefault="003816C4" w:rsidP="00FD3336">
            <w:pPr>
              <w:pStyle w:val="Tablenumbers2"/>
              <w:cnfStyle w:val="000000000000" w:firstRow="0" w:lastRow="0" w:firstColumn="0" w:lastColumn="0" w:oddVBand="0" w:evenVBand="0" w:oddHBand="0" w:evenHBand="0" w:firstRowFirstColumn="0" w:firstRowLastColumn="0" w:lastRowFirstColumn="0" w:lastRowLastColumn="0"/>
            </w:pPr>
            <w:r w:rsidRPr="00FD3336">
              <w:t>Aquatic groundwater dependant ecosystems: 50m or related waterway buffer identified in EPR SW1.</w:t>
            </w:r>
          </w:p>
          <w:p w14:paraId="107D2A98" w14:textId="77777777" w:rsidR="003816C4" w:rsidRPr="00831583" w:rsidRDefault="003816C4" w:rsidP="00FD3336">
            <w:pPr>
              <w:pStyle w:val="TableNumbers"/>
              <w:cnfStyle w:val="000000000000" w:firstRow="0" w:lastRow="0" w:firstColumn="0" w:lastColumn="0" w:oddVBand="0" w:evenVBand="0" w:oddHBand="0" w:evenHBand="0" w:firstRowFirstColumn="0" w:firstRowLastColumn="0" w:lastRowFirstColumn="0" w:lastRowLastColumn="0"/>
              <w:rPr>
                <w:b/>
                <w:bCs/>
              </w:rPr>
            </w:pPr>
            <w:r w:rsidRPr="00831583">
              <w:t xml:space="preserve">If planned works for transmission towers, Powercor distribution line crossovers and below ground works at terminal stations </w:t>
            </w:r>
            <w:r w:rsidRPr="001B7D71">
              <w:t>are located within the buffers</w:t>
            </w:r>
            <w:r w:rsidRPr="00831583">
              <w:t xml:space="preserve"> specified in item 1):</w:t>
            </w:r>
          </w:p>
          <w:p w14:paraId="2CD7B042" w14:textId="0E8A0740" w:rsidR="003816C4" w:rsidRPr="00831583" w:rsidRDefault="003816C4" w:rsidP="007219A2">
            <w:pPr>
              <w:pStyle w:val="Tablenumbers2"/>
              <w:numPr>
                <w:ilvl w:val="0"/>
                <w:numId w:val="83"/>
              </w:numPr>
              <w:ind w:left="568" w:hanging="284"/>
              <w:cnfStyle w:val="000000000000" w:firstRow="0" w:lastRow="0" w:firstColumn="0" w:lastColumn="0" w:oddVBand="0" w:evenVBand="0" w:oddHBand="0" w:evenHBand="0" w:firstRowFirstColumn="0" w:firstRowLastColumn="0" w:lastRowFirstColumn="0" w:lastRowLastColumn="0"/>
            </w:pPr>
            <w:r w:rsidRPr="00831583">
              <w:t>Consult with the landholder and undertake a site walkover to inspect or identify groundwater bores or areas where sub-surface infrastructure is present (such as supply mains) within and adjacent</w:t>
            </w:r>
            <w:r w:rsidR="73355DAA" w:rsidRPr="487B66BD">
              <w:t xml:space="preserve"> </w:t>
            </w:r>
            <w:r w:rsidRPr="00831583">
              <w:t xml:space="preserve">the construction footprint. </w:t>
            </w:r>
          </w:p>
          <w:p w14:paraId="69919FCD" w14:textId="77777777" w:rsidR="003816C4" w:rsidRPr="00831583" w:rsidRDefault="003816C4" w:rsidP="00FD3336">
            <w:pPr>
              <w:pStyle w:val="Tablenumbers3"/>
              <w:cnfStyle w:val="000000000000" w:firstRow="0" w:lastRow="0" w:firstColumn="0" w:lastColumn="0" w:oddVBand="0" w:evenVBand="0" w:oddHBand="0" w:evenHBand="0" w:firstRowFirstColumn="0" w:firstRowLastColumn="0" w:lastRowFirstColumn="0" w:lastRowLastColumn="0"/>
              <w:rPr>
                <w:rFonts w:ascii="Jacobs Chronos" w:hAnsi="Jacobs Chronos"/>
              </w:rPr>
            </w:pPr>
            <w:r w:rsidRPr="00831583">
              <w:t xml:space="preserve">If additional bores or potential GDEs are discovered, these must be discussed with the landholder and the relevant water authority and considered against the nominated physical distancing buffers listed above in item 1. </w:t>
            </w:r>
          </w:p>
          <w:p w14:paraId="12AC74C9" w14:textId="77777777" w:rsidR="003816C4" w:rsidRPr="00831583" w:rsidRDefault="003816C4" w:rsidP="00FD3336">
            <w:pPr>
              <w:pStyle w:val="Tablenumbers3"/>
              <w:cnfStyle w:val="000000000000" w:firstRow="0" w:lastRow="0" w:firstColumn="0" w:lastColumn="0" w:oddVBand="0" w:evenVBand="0" w:oddHBand="0" w:evenHBand="0" w:firstRowFirstColumn="0" w:firstRowLastColumn="0" w:lastRowFirstColumn="0" w:lastRowLastColumn="0"/>
              <w:rPr>
                <w:rFonts w:ascii="Jacobs Chronos" w:hAnsi="Jacobs Chronos"/>
              </w:rPr>
            </w:pPr>
            <w:r w:rsidRPr="00831583">
              <w:t>If sub-surface infrastructure is identified (such as drains, mains), potential for physical impact must be discussed with the landholder.</w:t>
            </w:r>
          </w:p>
          <w:p w14:paraId="7D08F96A" w14:textId="77777777" w:rsidR="003816C4" w:rsidRPr="00831583" w:rsidRDefault="003816C4" w:rsidP="00FD3336">
            <w:pPr>
              <w:pStyle w:val="Tablenumbers2"/>
              <w:cnfStyle w:val="000000000000" w:firstRow="0" w:lastRow="0" w:firstColumn="0" w:lastColumn="0" w:oddVBand="0" w:evenVBand="0" w:oddHBand="0" w:evenHBand="0" w:firstRowFirstColumn="0" w:firstRowLastColumn="0" w:lastRowFirstColumn="0" w:lastRowLastColumn="0"/>
            </w:pPr>
            <w:r w:rsidRPr="00831583">
              <w:t>Conduct a site-specific groundwater risk assessment to evaluate potential for physical impact</w:t>
            </w:r>
          </w:p>
          <w:p w14:paraId="68ED8C15" w14:textId="6044D952" w:rsidR="00D84B80" w:rsidRPr="00247990" w:rsidRDefault="003816C4" w:rsidP="00FD3336">
            <w:pPr>
              <w:pStyle w:val="Tablenumbers2"/>
              <w:cnfStyle w:val="000000000000" w:firstRow="0" w:lastRow="0" w:firstColumn="0" w:lastColumn="0" w:oddVBand="0" w:evenVBand="0" w:oddHBand="0" w:evenHBand="0" w:firstRowFirstColumn="0" w:firstRowLastColumn="0" w:lastRowFirstColumn="0" w:lastRowLastColumn="0"/>
            </w:pPr>
            <w:r w:rsidRPr="00831583">
              <w:t>If potential impacts are identified, prepare and implement site-specific monitoring and mitigation strategies if necessary. These requirements must be incorporated into the Groundwater Management Plan as required by EPR GW2.</w:t>
            </w:r>
          </w:p>
        </w:tc>
      </w:tr>
      <w:tr w:rsidR="00D84B80" w:rsidRPr="00247990" w14:paraId="54BE6018" w14:textId="77777777" w:rsidTr="00C37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tcPr>
          <w:p w14:paraId="0B0E2993" w14:textId="0295B16A" w:rsidR="00D84B80" w:rsidRPr="00247990" w:rsidRDefault="00D84B80" w:rsidP="00B42FF4">
            <w:pPr>
              <w:pStyle w:val="TableText"/>
              <w:keepNext/>
              <w:keepLines/>
            </w:pPr>
            <w:r w:rsidRPr="008D7C28">
              <w:lastRenderedPageBreak/>
              <w:t xml:space="preserve">EPR </w:t>
            </w:r>
            <w:r>
              <w:t>GW2</w:t>
            </w:r>
          </w:p>
        </w:tc>
        <w:tc>
          <w:tcPr>
            <w:tcW w:w="4618" w:type="pct"/>
          </w:tcPr>
          <w:p w14:paraId="3CA83C82" w14:textId="77777777" w:rsidR="00BB3137" w:rsidRPr="001B7D71" w:rsidRDefault="00BB3137" w:rsidP="00B42FF4">
            <w:pPr>
              <w:pStyle w:val="TableText"/>
              <w:keepNext/>
              <w:keepLines/>
              <w:cnfStyle w:val="000000010000" w:firstRow="0" w:lastRow="0" w:firstColumn="0" w:lastColumn="0" w:oddVBand="0" w:evenVBand="0" w:oddHBand="0" w:evenHBand="1" w:firstRowFirstColumn="0" w:firstRowLastColumn="0" w:lastRowFirstColumn="0" w:lastRowLastColumn="0"/>
              <w:rPr>
                <w:b/>
              </w:rPr>
            </w:pPr>
            <w:r w:rsidRPr="001B7D71">
              <w:rPr>
                <w:b/>
              </w:rPr>
              <w:t xml:space="preserve">Develop and implement a Groundwater Management Plan </w:t>
            </w:r>
          </w:p>
          <w:p w14:paraId="177D4728" w14:textId="5F549D72" w:rsidR="002D4D99" w:rsidRPr="002D4D99" w:rsidRDefault="003816C4" w:rsidP="00B42FF4">
            <w:pPr>
              <w:pStyle w:val="TableNumbers"/>
              <w:keepNext/>
              <w:keepLines/>
              <w:numPr>
                <w:ilvl w:val="0"/>
                <w:numId w:val="84"/>
              </w:numPr>
              <w:cnfStyle w:val="000000010000" w:firstRow="0" w:lastRow="0" w:firstColumn="0" w:lastColumn="0" w:oddVBand="0" w:evenVBand="0" w:oddHBand="0" w:evenHBand="1" w:firstRowFirstColumn="0" w:firstRowLastColumn="0" w:lastRowFirstColumn="0" w:lastRowLastColumn="0"/>
            </w:pPr>
            <w:r w:rsidRPr="487B66BD">
              <w:t>Prior to commencement of Project construction and as part of the CEMP (EPR EM2), develop, implement and maintain a Groundwater Management Plan in consultation with EPA and relevant water authorities that details the specific controls that would avoid or minimise risks to the environmental value of groundwater.</w:t>
            </w:r>
          </w:p>
          <w:p w14:paraId="17EB226B" w14:textId="4A897C95" w:rsidR="003816C4" w:rsidRPr="002D4D99" w:rsidRDefault="003816C4" w:rsidP="00B42FF4">
            <w:pPr>
              <w:pStyle w:val="TableNumbers"/>
              <w:keepNext/>
              <w:keepLines/>
              <w:cnfStyle w:val="000000010000" w:firstRow="0" w:lastRow="0" w:firstColumn="0" w:lastColumn="0" w:oddVBand="0" w:evenVBand="0" w:oddHBand="0" w:evenHBand="1" w:firstRowFirstColumn="0" w:firstRowLastColumn="0" w:lastRowFirstColumn="0" w:lastRowLastColumn="0"/>
            </w:pPr>
            <w:r w:rsidRPr="002D4D99">
              <w:t>The Groundwater Management Plan must include the following, as a minimum:</w:t>
            </w:r>
          </w:p>
          <w:p w14:paraId="32942914" w14:textId="77777777" w:rsidR="003816C4" w:rsidRPr="002D4D99" w:rsidRDefault="003816C4" w:rsidP="007219A2">
            <w:pPr>
              <w:pStyle w:val="Tablenumbers2"/>
              <w:keepNext/>
              <w:keepLines/>
              <w:numPr>
                <w:ilvl w:val="0"/>
                <w:numId w:val="85"/>
              </w:numPr>
              <w:ind w:left="568" w:hanging="284"/>
              <w:cnfStyle w:val="000000010000" w:firstRow="0" w:lastRow="0" w:firstColumn="0" w:lastColumn="0" w:oddVBand="0" w:evenVBand="0" w:oddHBand="0" w:evenHBand="1" w:firstRowFirstColumn="0" w:firstRowLastColumn="0" w:lastRowFirstColumn="0" w:lastRowLastColumn="0"/>
            </w:pPr>
            <w:r w:rsidRPr="002D4D99">
              <w:t xml:space="preserve">Controls outlined in EPA Publication1834.1 Civil construction, building and demolition guide (EPA, 2023), as relevant to erosion, sediment, contaminated land and contaminated groundwater, chemicals and waste. This includes controls for management measures of the collection, containment and transport of groundwater or slurry discharged or displacement displaced from below ground construction. Groundwater displaced to the surface will be "waste" as defined by the </w:t>
            </w:r>
            <w:r w:rsidRPr="00FD3336">
              <w:rPr>
                <w:i/>
                <w:iCs/>
              </w:rPr>
              <w:t>Environment Protection Act 2017</w:t>
            </w:r>
            <w:r w:rsidRPr="002D4D99">
              <w:t>. Wastes will be classified, managed, and disposed in accordance with EPA Publication 1827.2: Waste classification assessment protocol (EPA, 2021a), EPA Publication 1968.1: Guide to classifying industrial waste (EPA, 2021b), and EPA Publication 1828.3: Waste disposal categories-characteristics and thresholds (EPA, 2024). Waste will be managed in accordance with the Environment Protection Regulations 2021. These measures should be implemented to prevent any waste reaching waterways, as well as ensuring open holes are bunded to prevent preferential pathways during construction (refer to EPR CL3).</w:t>
            </w:r>
          </w:p>
          <w:p w14:paraId="78F8C5AB" w14:textId="77777777" w:rsidR="003816C4" w:rsidRPr="002D4D99" w:rsidRDefault="003816C4" w:rsidP="00B42FF4">
            <w:pPr>
              <w:pStyle w:val="Tablenumbers2"/>
              <w:keepNext/>
              <w:keepLines/>
              <w:cnfStyle w:val="000000010000" w:firstRow="0" w:lastRow="0" w:firstColumn="0" w:lastColumn="0" w:oddVBand="0" w:evenVBand="0" w:oddHBand="0" w:evenHBand="1" w:firstRowFirstColumn="0" w:firstRowLastColumn="0" w:lastRowFirstColumn="0" w:lastRowLastColumn="0"/>
            </w:pPr>
            <w:r w:rsidRPr="002D4D99">
              <w:t>Controls outlined in EPA Publication 1698 Liquid handling and storage guidelines (EPA, 2018a) and EPA Publication 1700 Preventing liquid leaks and spills from entering the environment (EPA, 2018b). This includes controls such as using secondary containment (bunded) areas to store or transfer liquids, safe pouring and decanting methods, and spill kits to prevent migration of liquid. These measures should be implemented to prevent any onsite spills reaching the watertable.</w:t>
            </w:r>
          </w:p>
          <w:p w14:paraId="7AC4366A" w14:textId="77777777" w:rsidR="003816C4" w:rsidRPr="002D4D99" w:rsidRDefault="003816C4" w:rsidP="00B42FF4">
            <w:pPr>
              <w:pStyle w:val="Tablenumbers2"/>
              <w:keepNext/>
              <w:keepLines/>
              <w:cnfStyle w:val="000000010000" w:firstRow="0" w:lastRow="0" w:firstColumn="0" w:lastColumn="0" w:oddVBand="0" w:evenVBand="0" w:oddHBand="0" w:evenHBand="1" w:firstRowFirstColumn="0" w:firstRowLastColumn="0" w:lastRowFirstColumn="0" w:lastRowLastColumn="0"/>
            </w:pPr>
            <w:r w:rsidRPr="002D4D99">
              <w:t>Controls as described in EPA Publication 655.1: Acid sulfate soil and rock, for management of acid sulfate soils (EPA, 2009).</w:t>
            </w:r>
          </w:p>
          <w:p w14:paraId="5468861B" w14:textId="77777777" w:rsidR="003816C4" w:rsidRPr="002D4D99" w:rsidRDefault="003816C4" w:rsidP="00B42FF4">
            <w:pPr>
              <w:pStyle w:val="Tablenumbers2"/>
              <w:keepNext/>
              <w:keepLines/>
              <w:cnfStyle w:val="000000010000" w:firstRow="0" w:lastRow="0" w:firstColumn="0" w:lastColumn="0" w:oddVBand="0" w:evenVBand="0" w:oddHBand="0" w:evenHBand="1" w:firstRowFirstColumn="0" w:firstRowLastColumn="0" w:lastRowFirstColumn="0" w:lastRowLastColumn="0"/>
            </w:pPr>
            <w:r w:rsidRPr="002D4D99">
              <w:t>Provision of access arrangements to DEECA in the event that State Observation Bore Network bores are located within a fenced construction area.</w:t>
            </w:r>
          </w:p>
          <w:p w14:paraId="48ED8E8D" w14:textId="77777777" w:rsidR="003816C4" w:rsidRPr="002D4D99" w:rsidRDefault="003816C4" w:rsidP="00B42FF4">
            <w:pPr>
              <w:pStyle w:val="Tablenumbers2"/>
              <w:keepNext/>
              <w:keepLines/>
              <w:cnfStyle w:val="000000010000" w:firstRow="0" w:lastRow="0" w:firstColumn="0" w:lastColumn="0" w:oddVBand="0" w:evenVBand="0" w:oddHBand="0" w:evenHBand="1" w:firstRowFirstColumn="0" w:firstRowLastColumn="0" w:lastRowFirstColumn="0" w:lastRowLastColumn="0"/>
            </w:pPr>
            <w:r w:rsidRPr="002D4D99">
              <w:t>Protocols in the event of dewatering for towers and terminal stations. The dewatering protocols must include, but not be limited to:</w:t>
            </w:r>
          </w:p>
          <w:p w14:paraId="5C82A1C5" w14:textId="77777777" w:rsidR="003816C4" w:rsidRPr="002D4D99" w:rsidRDefault="003816C4" w:rsidP="007219A2">
            <w:pPr>
              <w:pStyle w:val="Tablenumbers3"/>
              <w:keepNext/>
              <w:keepLines/>
              <w:numPr>
                <w:ilvl w:val="0"/>
                <w:numId w:val="86"/>
              </w:numPr>
              <w:ind w:left="851" w:hanging="284"/>
              <w:cnfStyle w:val="000000010000" w:firstRow="0" w:lastRow="0" w:firstColumn="0" w:lastColumn="0" w:oddVBand="0" w:evenVBand="0" w:oddHBand="0" w:evenHBand="1" w:firstRowFirstColumn="0" w:firstRowLastColumn="0" w:lastRowFirstColumn="0" w:lastRowLastColumn="0"/>
            </w:pPr>
            <w:r w:rsidRPr="002D4D99">
              <w:t>Review of geotechnical survey data to determine sub-surface conditions.</w:t>
            </w:r>
          </w:p>
          <w:p w14:paraId="1A84E7A6" w14:textId="77777777" w:rsidR="003816C4" w:rsidRPr="002D4D99" w:rsidRDefault="003816C4" w:rsidP="00B42FF4">
            <w:pPr>
              <w:pStyle w:val="Tablenumbers3"/>
              <w:keepNext/>
              <w:keepLines/>
              <w:cnfStyle w:val="000000010000" w:firstRow="0" w:lastRow="0" w:firstColumn="0" w:lastColumn="0" w:oddVBand="0" w:evenVBand="0" w:oddHBand="0" w:evenHBand="1" w:firstRowFirstColumn="0" w:firstRowLastColumn="0" w:lastRowFirstColumn="0" w:lastRowLastColumn="0"/>
            </w:pPr>
            <w:r w:rsidRPr="002D4D99">
              <w:t>Estimation of drawdown and cone of depression based on planned dewatering duration and conditions encountered.</w:t>
            </w:r>
          </w:p>
          <w:p w14:paraId="77B7800D" w14:textId="77777777" w:rsidR="003816C4" w:rsidRPr="002D4D99" w:rsidRDefault="003816C4" w:rsidP="00B42FF4">
            <w:pPr>
              <w:pStyle w:val="Tablenumbers3"/>
              <w:keepNext/>
              <w:keepLines/>
              <w:cnfStyle w:val="000000010000" w:firstRow="0" w:lastRow="0" w:firstColumn="0" w:lastColumn="0" w:oddVBand="0" w:evenVBand="0" w:oddHBand="0" w:evenHBand="1" w:firstRowFirstColumn="0" w:firstRowLastColumn="0" w:lastRowFirstColumn="0" w:lastRowLastColumn="0"/>
            </w:pPr>
            <w:r w:rsidRPr="002D4D99">
              <w:t>Estimation of extraction volume. If the activity is within a Groundwater Management Area, the volume should be communicated to the relevant Water Authority.</w:t>
            </w:r>
          </w:p>
          <w:p w14:paraId="55B86E21" w14:textId="77777777" w:rsidR="003816C4" w:rsidRPr="002D4D99" w:rsidRDefault="003816C4" w:rsidP="00B42FF4">
            <w:pPr>
              <w:pStyle w:val="Tablenumbers3"/>
              <w:keepNext/>
              <w:keepLines/>
              <w:cnfStyle w:val="000000010000" w:firstRow="0" w:lastRow="0" w:firstColumn="0" w:lastColumn="0" w:oddVBand="0" w:evenVBand="0" w:oddHBand="0" w:evenHBand="1" w:firstRowFirstColumn="0" w:firstRowLastColumn="0" w:lastRowFirstColumn="0" w:lastRowLastColumn="0"/>
            </w:pPr>
            <w:r w:rsidRPr="002D4D99">
              <w:t xml:space="preserve">Identification of receptors (GDEs, waterways, users) or sensitive sites (acid sulfate soils, contamination sources as identified through EPR CL1) within the expected cone of depression. If potential for impact to receptors is identified, consider the proposed construction method and timing to minimise or eliminate impacts. </w:t>
            </w:r>
          </w:p>
          <w:p w14:paraId="1F65C820" w14:textId="77777777" w:rsidR="003816C4" w:rsidRPr="002D4D99" w:rsidRDefault="003816C4" w:rsidP="00B42FF4">
            <w:pPr>
              <w:pStyle w:val="Tablenumbers3"/>
              <w:keepNext/>
              <w:keepLines/>
              <w:cnfStyle w:val="000000010000" w:firstRow="0" w:lastRow="0" w:firstColumn="0" w:lastColumn="0" w:oddVBand="0" w:evenVBand="0" w:oddHBand="0" w:evenHBand="1" w:firstRowFirstColumn="0" w:firstRowLastColumn="0" w:lastRowFirstColumn="0" w:lastRowLastColumn="0"/>
            </w:pPr>
            <w:r w:rsidRPr="002D4D99">
              <w:t xml:space="preserve">If there is high uncertainty, high risk, or if impacts cannot be mitigated through design, construction methodology, and timing, install a groundwater bore and undertake investigations to determine groundwater level, groundwater quality and hydraulic conductivity. </w:t>
            </w:r>
          </w:p>
          <w:p w14:paraId="1EBB28D4" w14:textId="77777777" w:rsidR="003816C4" w:rsidRPr="002D4D99" w:rsidRDefault="003816C4" w:rsidP="00B42FF4">
            <w:pPr>
              <w:pStyle w:val="Tablenumbers3"/>
              <w:keepNext/>
              <w:keepLines/>
              <w:cnfStyle w:val="000000010000" w:firstRow="0" w:lastRow="0" w:firstColumn="0" w:lastColumn="0" w:oddVBand="0" w:evenVBand="0" w:oddHBand="0" w:evenHBand="1" w:firstRowFirstColumn="0" w:firstRowLastColumn="0" w:lastRowFirstColumn="0" w:lastRowLastColumn="0"/>
            </w:pPr>
            <w:r w:rsidRPr="002D4D99">
              <w:t xml:space="preserve">Design and implement a field monitoring program before, during and after dewatering to monitor and manage impacts. </w:t>
            </w:r>
          </w:p>
          <w:p w14:paraId="0D19FF25" w14:textId="77777777" w:rsidR="003816C4" w:rsidRPr="002D4D99" w:rsidRDefault="003816C4" w:rsidP="00B42FF4">
            <w:pPr>
              <w:pStyle w:val="Tablenumbers3"/>
              <w:keepNext/>
              <w:keepLines/>
              <w:cnfStyle w:val="000000010000" w:firstRow="0" w:lastRow="0" w:firstColumn="0" w:lastColumn="0" w:oddVBand="0" w:evenVBand="0" w:oddHBand="0" w:evenHBand="1" w:firstRowFirstColumn="0" w:firstRowLastColumn="0" w:lastRowFirstColumn="0" w:lastRowLastColumn="0"/>
            </w:pPr>
            <w:r w:rsidRPr="002D4D99">
              <w:t>Develop site-specific mitigation strategies to mitigate potential impacts.</w:t>
            </w:r>
          </w:p>
          <w:p w14:paraId="395DF5C6" w14:textId="77777777" w:rsidR="003816C4" w:rsidRPr="002D4D99" w:rsidRDefault="003816C4" w:rsidP="00B42FF4">
            <w:pPr>
              <w:pStyle w:val="Tablenumbers3"/>
              <w:keepNext/>
              <w:keepLines/>
              <w:cnfStyle w:val="000000010000" w:firstRow="0" w:lastRow="0" w:firstColumn="0" w:lastColumn="0" w:oddVBand="0" w:evenVBand="0" w:oddHBand="0" w:evenHBand="1" w:firstRowFirstColumn="0" w:firstRowLastColumn="0" w:lastRowFirstColumn="0" w:lastRowLastColumn="0"/>
            </w:pPr>
            <w:r w:rsidRPr="002D4D99">
              <w:t>Groundwater inflow management planning.</w:t>
            </w:r>
          </w:p>
          <w:p w14:paraId="571ED42B" w14:textId="64AA83C5" w:rsidR="00D84B80" w:rsidRPr="002D4D99" w:rsidRDefault="003816C4" w:rsidP="00B42FF4">
            <w:pPr>
              <w:pStyle w:val="Tablenumbers3"/>
              <w:keepNext/>
              <w:keepLines/>
              <w:cnfStyle w:val="000000010000" w:firstRow="0" w:lastRow="0" w:firstColumn="0" w:lastColumn="0" w:oddVBand="0" w:evenVBand="0" w:oddHBand="0" w:evenHBand="1" w:firstRowFirstColumn="0" w:firstRowLastColumn="0" w:lastRowFirstColumn="0" w:lastRowLastColumn="0"/>
            </w:pPr>
            <w:r w:rsidRPr="002D4D99">
              <w:t>Groundwater discharge options assessment and management planning.</w:t>
            </w:r>
          </w:p>
        </w:tc>
      </w:tr>
    </w:tbl>
    <w:bookmarkEnd w:id="49"/>
    <w:p w14:paraId="3E631124" w14:textId="639BD7C0" w:rsidR="00FD3D5E" w:rsidRPr="00FD3D5E" w:rsidRDefault="00FD3D5E" w:rsidP="00C37891">
      <w:pPr>
        <w:spacing w:before="240"/>
      </w:pPr>
      <w:r w:rsidRPr="00FD3D5E">
        <w:t xml:space="preserve">Other EPRs contribute to a reduction in the magnitude, extent and duration of impacts for </w:t>
      </w:r>
      <w:r>
        <w:t>groundwater</w:t>
      </w:r>
      <w:r w:rsidRPr="00FD3D5E">
        <w:t xml:space="preserve"> values. Additional EPRs related to </w:t>
      </w:r>
      <w:r>
        <w:t>ground</w:t>
      </w:r>
      <w:r w:rsidRPr="00FD3D5E">
        <w:t xml:space="preserve">water include: </w:t>
      </w:r>
    </w:p>
    <w:p w14:paraId="79956B04" w14:textId="77777777" w:rsidR="00FD3D5E" w:rsidRPr="00FD3D5E" w:rsidRDefault="00FD3D5E" w:rsidP="00FD3D5E">
      <w:pPr>
        <w:numPr>
          <w:ilvl w:val="0"/>
          <w:numId w:val="49"/>
        </w:numPr>
      </w:pPr>
      <w:r w:rsidRPr="00FD3D5E">
        <w:t>EPR EM2 – Develop and implement a Construction Environmental Management Plan</w:t>
      </w:r>
    </w:p>
    <w:p w14:paraId="0CDAD0DA" w14:textId="5FB53006" w:rsidR="00FD3D5E" w:rsidRPr="00FD3D5E" w:rsidRDefault="00FD3D5E" w:rsidP="00FD3D5E">
      <w:pPr>
        <w:numPr>
          <w:ilvl w:val="0"/>
          <w:numId w:val="49"/>
        </w:numPr>
      </w:pPr>
      <w:r w:rsidRPr="00FD3D5E">
        <w:t>EPR EM11 – Develop and implement a Decommissioning Management Plan</w:t>
      </w:r>
      <w:r w:rsidR="00C60D31">
        <w:t>.</w:t>
      </w:r>
    </w:p>
    <w:p w14:paraId="0EDDB458" w14:textId="76032ACB" w:rsidR="00FD3D5E" w:rsidRDefault="00FD3D5E" w:rsidP="00142D10">
      <w:r w:rsidRPr="00FD3D5E">
        <w:t xml:space="preserve">Refer to </w:t>
      </w:r>
      <w:r w:rsidRPr="00FD3D5E">
        <w:rPr>
          <w:b/>
          <w:bCs/>
        </w:rPr>
        <w:t>Chapter 29: Environmental Management Framework</w:t>
      </w:r>
      <w:r w:rsidRPr="00FD3D5E">
        <w:t xml:space="preserve"> for full detail of these EPRs.</w:t>
      </w:r>
    </w:p>
    <w:p w14:paraId="1FC1B8A3" w14:textId="1A00E95E" w:rsidR="00466A84" w:rsidRPr="00A53F5F" w:rsidRDefault="00142D10" w:rsidP="00B40C01">
      <w:pPr>
        <w:keepNext/>
        <w:keepLines/>
      </w:pPr>
      <w:r w:rsidRPr="0AE81A1E">
        <w:lastRenderedPageBreak/>
        <w:t xml:space="preserve">Groundwater monitoring will be undertaken </w:t>
      </w:r>
      <w:r w:rsidR="00063F8E" w:rsidRPr="0AE81A1E">
        <w:t xml:space="preserve">on a site-specific basis where buffer distances to groundwater receptors </w:t>
      </w:r>
      <w:r w:rsidR="00772353" w:rsidRPr="0AE81A1E">
        <w:t xml:space="preserve">(as specified in EPR GW1) </w:t>
      </w:r>
      <w:r w:rsidR="00063F8E" w:rsidRPr="0AE81A1E">
        <w:t>cannot be achieved and there is potential for impact. Further field monitoring will be undertaken before, during and after dewatering in the event that it is required, in accordance with the Groundwater Management Plan</w:t>
      </w:r>
      <w:r w:rsidR="00772353" w:rsidRPr="0AE81A1E">
        <w:t xml:space="preserve"> (EPR GW2)</w:t>
      </w:r>
      <w:r w:rsidR="00063F8E" w:rsidRPr="0AE81A1E">
        <w:t xml:space="preserve">. </w:t>
      </w:r>
    </w:p>
    <w:p w14:paraId="504CC310" w14:textId="3C06720C" w:rsidR="00142D10" w:rsidRPr="00CD04AF" w:rsidRDefault="00142D10" w:rsidP="00772353">
      <w:r w:rsidRPr="005D79C7">
        <w:t>The</w:t>
      </w:r>
      <w:r w:rsidR="006C0ED6">
        <w:t xml:space="preserve"> objectives of</w:t>
      </w:r>
      <w:r w:rsidRPr="005D79C7">
        <w:t xml:space="preserve"> proposed monitoring programs for the Project</w:t>
      </w:r>
      <w:r w:rsidR="008F4DE6">
        <w:t xml:space="preserve"> required by the</w:t>
      </w:r>
      <w:r w:rsidR="006861F2">
        <w:t xml:space="preserve"> EPRs</w:t>
      </w:r>
      <w:r w:rsidRPr="005D79C7">
        <w:t xml:space="preserve"> are </w:t>
      </w:r>
      <w:r w:rsidR="008F4DE6">
        <w:t>outlined</w:t>
      </w:r>
      <w:r w:rsidRPr="005D79C7">
        <w:t xml:space="preserve"> in </w:t>
      </w:r>
      <w:r w:rsidRPr="005D79C7">
        <w:rPr>
          <w:b/>
          <w:bCs/>
        </w:rPr>
        <w:t xml:space="preserve">Chapter </w:t>
      </w:r>
      <w:r w:rsidR="00063F8E">
        <w:rPr>
          <w:b/>
          <w:bCs/>
        </w:rPr>
        <w:t>29</w:t>
      </w:r>
      <w:r w:rsidRPr="005D79C7">
        <w:rPr>
          <w:b/>
          <w:bCs/>
        </w:rPr>
        <w:t>: Environmental Management Framework.</w:t>
      </w:r>
      <w:r w:rsidRPr="005D79C7">
        <w:t xml:space="preserve"> </w:t>
      </w:r>
    </w:p>
    <w:p w14:paraId="003F42DD" w14:textId="714FCD26" w:rsidR="00EC151C" w:rsidRDefault="005C3FCC" w:rsidP="00FD3336">
      <w:pPr>
        <w:pStyle w:val="Heading2"/>
      </w:pPr>
      <w:bookmarkStart w:id="52" w:name="_Toc201047273"/>
      <w:r>
        <w:t>Summary of</w:t>
      </w:r>
      <w:r w:rsidR="00AC0A47">
        <w:t xml:space="preserve"> </w:t>
      </w:r>
      <w:r>
        <w:t>r</w:t>
      </w:r>
      <w:r w:rsidR="0050646D">
        <w:t>esidual impacts</w:t>
      </w:r>
      <w:bookmarkEnd w:id="52"/>
      <w:r w:rsidR="0050646D">
        <w:t xml:space="preserve"> </w:t>
      </w:r>
    </w:p>
    <w:p w14:paraId="410DF6DD" w14:textId="5E5201D0" w:rsidR="00E07406" w:rsidRDefault="00E07406" w:rsidP="00FD3336">
      <w:pPr>
        <w:keepNext/>
        <w:keepLines/>
      </w:pPr>
      <w:r w:rsidRPr="0AE81A1E">
        <w:t xml:space="preserve">With </w:t>
      </w:r>
      <w:r w:rsidR="005F1592">
        <w:t xml:space="preserve">the </w:t>
      </w:r>
      <w:r w:rsidRPr="0AE81A1E">
        <w:t xml:space="preserve">application of the EPRs, residual impacts associated with groundwater are </w:t>
      </w:r>
      <w:r w:rsidR="008F4DE6">
        <w:t xml:space="preserve">considered to be </w:t>
      </w:r>
      <w:r w:rsidRPr="0AE81A1E">
        <w:t>minor to negligible</w:t>
      </w:r>
      <w:r w:rsidR="0014641C" w:rsidRPr="0AE81A1E">
        <w:t>:</w:t>
      </w:r>
    </w:p>
    <w:p w14:paraId="685FE216" w14:textId="5A7680E8" w:rsidR="00E07406" w:rsidRDefault="00E07406" w:rsidP="002955B9">
      <w:pPr>
        <w:pStyle w:val="ListBullet"/>
      </w:pPr>
      <w:r w:rsidRPr="0AE81A1E">
        <w:t xml:space="preserve">Residual impacts to groundwater levels, flow and recharge </w:t>
      </w:r>
      <w:r w:rsidR="00AF4E44" w:rsidRPr="0AE81A1E">
        <w:t xml:space="preserve">during construction </w:t>
      </w:r>
      <w:r w:rsidRPr="0AE81A1E">
        <w:t xml:space="preserve">are minor to negligible. The removal of patches of vegetation in three areas </w:t>
      </w:r>
      <w:r w:rsidR="002A53B7" w:rsidRPr="0AE81A1E">
        <w:t xml:space="preserve">of the Project </w:t>
      </w:r>
      <w:r w:rsidRPr="0AE81A1E">
        <w:t>may result in an increase in groundwater levels</w:t>
      </w:r>
      <w:r w:rsidR="005D2C9E" w:rsidRPr="0AE81A1E">
        <w:t>;</w:t>
      </w:r>
      <w:r w:rsidRPr="0AE81A1E">
        <w:t xml:space="preserve"> </w:t>
      </w:r>
      <w:r w:rsidR="003B4D5B" w:rsidRPr="003B4D5B">
        <w:t xml:space="preserve">however, </w:t>
      </w:r>
      <w:r w:rsidR="00AC5C5C" w:rsidRPr="00AC5C5C">
        <w:t xml:space="preserve">the expected impact from vegetation removal for the Project </w:t>
      </w:r>
      <w:r w:rsidR="00AC5C5C">
        <w:t xml:space="preserve">overall </w:t>
      </w:r>
      <w:r w:rsidR="00AC5C5C" w:rsidRPr="00AC5C5C">
        <w:t xml:space="preserve">is minor. </w:t>
      </w:r>
      <w:r w:rsidR="003B4D5B" w:rsidRPr="003B4D5B">
        <w:t>Planned protocols will be followed in the event that dewatering is required, managing potential adverse impacts</w:t>
      </w:r>
      <w:r w:rsidR="003B4D5B">
        <w:t xml:space="preserve"> </w:t>
      </w:r>
      <w:r w:rsidR="00452FCD">
        <w:t>(EPR GW</w:t>
      </w:r>
      <w:r w:rsidR="0014226E">
        <w:t>2</w:t>
      </w:r>
      <w:r w:rsidR="00452FCD">
        <w:t>).</w:t>
      </w:r>
    </w:p>
    <w:p w14:paraId="4F878F36" w14:textId="37926554" w:rsidR="00150C53" w:rsidRDefault="00150C53" w:rsidP="00E07406">
      <w:pPr>
        <w:pStyle w:val="ListBullet"/>
      </w:pPr>
      <w:r w:rsidRPr="0AE81A1E">
        <w:t xml:space="preserve">Residual impacts to groundwater quality </w:t>
      </w:r>
      <w:r w:rsidR="00DB277F" w:rsidRPr="0AE81A1E">
        <w:t xml:space="preserve">(including salinity) </w:t>
      </w:r>
      <w:r w:rsidRPr="0AE81A1E">
        <w:t>during construction are negligible. The Groundwater Management Plan will include standard controls to manage</w:t>
      </w:r>
      <w:r w:rsidR="00846128" w:rsidRPr="0AE81A1E">
        <w:t xml:space="preserve"> potential groundwater</w:t>
      </w:r>
      <w:r w:rsidRPr="0AE81A1E">
        <w:t xml:space="preserve"> contamination, and all surface seals will be designed to minimise the </w:t>
      </w:r>
      <w:r w:rsidR="00846128" w:rsidRPr="0AE81A1E">
        <w:t>potential for</w:t>
      </w:r>
      <w:r w:rsidRPr="0AE81A1E">
        <w:t xml:space="preserve"> contaminants </w:t>
      </w:r>
      <w:r w:rsidR="00846128" w:rsidRPr="0AE81A1E">
        <w:t xml:space="preserve">to enter the </w:t>
      </w:r>
      <w:r w:rsidRPr="0AE81A1E">
        <w:t>groundwater</w:t>
      </w:r>
      <w:r w:rsidR="00452FCD">
        <w:t xml:space="preserve"> (EPR GW2).</w:t>
      </w:r>
    </w:p>
    <w:p w14:paraId="113B919E" w14:textId="06461C90" w:rsidR="00150C53" w:rsidRDefault="00150C53" w:rsidP="00E07406">
      <w:pPr>
        <w:pStyle w:val="ListBullet"/>
      </w:pPr>
      <w:r w:rsidRPr="0AE81A1E">
        <w:t xml:space="preserve">Residual impacts to groundwater bores or GDEs during construction are </w:t>
      </w:r>
      <w:r w:rsidR="00DF0990" w:rsidRPr="0AE81A1E">
        <w:t xml:space="preserve">minor to </w:t>
      </w:r>
      <w:r w:rsidRPr="0AE81A1E">
        <w:t xml:space="preserve">negligible. Where buffer distances cannot be achieved to groundwater receptors, site-specific assessments will be </w:t>
      </w:r>
      <w:r w:rsidR="006F0308" w:rsidRPr="0AE81A1E">
        <w:t>undertaken,</w:t>
      </w:r>
      <w:r w:rsidRPr="0AE81A1E">
        <w:t xml:space="preserve"> and monitoring and mitigation strategies will be implemented where impacts are identified</w:t>
      </w:r>
      <w:r w:rsidR="00123F43">
        <w:t xml:space="preserve"> (EPR GW1</w:t>
      </w:r>
      <w:r w:rsidR="0014226E">
        <w:t>, EPR GW2</w:t>
      </w:r>
      <w:r w:rsidR="00123F43">
        <w:t>).</w:t>
      </w:r>
    </w:p>
    <w:p w14:paraId="799029DD" w14:textId="1C323A2F" w:rsidR="00846128" w:rsidRDefault="00E07406" w:rsidP="000710AA">
      <w:pPr>
        <w:pStyle w:val="ListBullet"/>
      </w:pPr>
      <w:r w:rsidRPr="0AE81A1E">
        <w:t xml:space="preserve">Residual impacts to groundwater recharge and quality </w:t>
      </w:r>
      <w:r w:rsidR="005D2C9E" w:rsidRPr="0AE81A1E">
        <w:t>during</w:t>
      </w:r>
      <w:r w:rsidRPr="0AE81A1E">
        <w:t xml:space="preserve"> operation are negligible. </w:t>
      </w:r>
      <w:r w:rsidR="006E7094" w:rsidRPr="006E7094">
        <w:t xml:space="preserve">The assessment of the potential for impact to groundwater recharge rates concluded that the Project is expected to have negligible effect on groundwater recharge processes and no specific mitigation strategies are required. The potential impacts to groundwater quality from herbicide </w:t>
      </w:r>
      <w:r w:rsidR="000E2B3B" w:rsidRPr="000E2B3B">
        <w:t xml:space="preserve">application </w:t>
      </w:r>
      <w:r w:rsidR="000E2B3B">
        <w:t>w</w:t>
      </w:r>
      <w:r w:rsidR="000E2B3B" w:rsidRPr="003816C4">
        <w:t>ill be managed in accordance with existing AusNet operational procedures, resulting in a negligible residual impact</w:t>
      </w:r>
      <w:r w:rsidR="00123F43">
        <w:t xml:space="preserve">. </w:t>
      </w:r>
    </w:p>
    <w:p w14:paraId="73BC2A2E" w14:textId="14FE6554" w:rsidR="00FA3BB7" w:rsidRPr="00E07406" w:rsidRDefault="00F76EAC" w:rsidP="009A5DC0">
      <w:pPr>
        <w:pStyle w:val="ListBullet"/>
      </w:pPr>
      <w:r w:rsidRPr="0AE81A1E">
        <w:t xml:space="preserve">Residual impacts to groundwater </w:t>
      </w:r>
      <w:r w:rsidR="003B6A60">
        <w:t>during</w:t>
      </w:r>
      <w:r w:rsidRPr="0AE81A1E">
        <w:t xml:space="preserve"> decommissioning are considered to be negligible</w:t>
      </w:r>
      <w:r w:rsidR="00860309">
        <w:t xml:space="preserve">, </w:t>
      </w:r>
      <w:r w:rsidR="00A84FE2" w:rsidRPr="00A84FE2">
        <w:t>as decommissioning activities will not interact with groundwater</w:t>
      </w:r>
      <w:r w:rsidRPr="0AE81A1E">
        <w:t xml:space="preserve">. </w:t>
      </w:r>
      <w:r w:rsidR="00A84FE2" w:rsidRPr="00A84FE2">
        <w:t>The Decommissioning Management Plan (EPR EM</w:t>
      </w:r>
      <w:r w:rsidR="00BD3768">
        <w:t>11</w:t>
      </w:r>
      <w:r w:rsidR="00A84FE2" w:rsidRPr="00A84FE2">
        <w:t xml:space="preserve">) will include standard controls that will manage potential groundwater </w:t>
      </w:r>
      <w:r w:rsidR="00BD3768">
        <w:t>impacts</w:t>
      </w:r>
      <w:r w:rsidRPr="0AE81A1E">
        <w:t>.</w:t>
      </w:r>
    </w:p>
    <w:p w14:paraId="7A6912B7" w14:textId="0A62AA76" w:rsidR="00BC56EB" w:rsidRDefault="7852FAF6" w:rsidP="0AE81A1E">
      <w:pPr>
        <w:rPr>
          <w:i/>
          <w:iCs/>
        </w:rPr>
      </w:pPr>
      <w:r w:rsidRPr="0AE81A1E">
        <w:t xml:space="preserve">With the implementation of measures to comply with EPRs, it is considered that the </w:t>
      </w:r>
      <w:r w:rsidR="003C0424" w:rsidRPr="0AE81A1E">
        <w:t>P</w:t>
      </w:r>
      <w:r w:rsidRPr="0AE81A1E">
        <w:t>roject meets the</w:t>
      </w:r>
      <w:r w:rsidR="00C9119F" w:rsidRPr="0AE81A1E">
        <w:t xml:space="preserve"> groundwater aspects of the</w:t>
      </w:r>
      <w:r w:rsidRPr="0AE81A1E">
        <w:t xml:space="preserve"> evaluation objective </w:t>
      </w:r>
      <w:r w:rsidR="00C9119F" w:rsidRPr="0AE81A1E">
        <w:rPr>
          <w:i/>
          <w:iCs/>
        </w:rPr>
        <w:t>“Maintain the functions and values of aquatic environments, surface water and groundwater quality and stream flows and prevent adverse effects on protected beneficial uses</w:t>
      </w:r>
      <w:r w:rsidR="009D24D4">
        <w:rPr>
          <w:i/>
          <w:iCs/>
        </w:rPr>
        <w:t>.</w:t>
      </w:r>
      <w:r w:rsidR="00C9119F" w:rsidRPr="0AE81A1E">
        <w:rPr>
          <w:i/>
          <w:iCs/>
        </w:rPr>
        <w:t>”</w:t>
      </w:r>
    </w:p>
    <w:p w14:paraId="063231D5" w14:textId="77777777" w:rsidR="00BC56EB" w:rsidRDefault="00BC56EB">
      <w:pPr>
        <w:spacing w:after="160"/>
        <w:rPr>
          <w:i/>
          <w:iCs/>
        </w:rPr>
      </w:pPr>
      <w:r>
        <w:rPr>
          <w:i/>
          <w:iCs/>
        </w:rPr>
        <w:br w:type="page"/>
      </w:r>
    </w:p>
    <w:p w14:paraId="69700AFE" w14:textId="70A3BD2C" w:rsidR="000E21B9" w:rsidRPr="006E2F63" w:rsidRDefault="00BC56EB" w:rsidP="0AE81A1E">
      <w:pPr>
        <w:rPr>
          <w:i/>
          <w:iCs/>
        </w:rPr>
      </w:pPr>
      <w:r>
        <w:rPr>
          <w:i/>
          <w:iCs/>
          <w:noProof/>
        </w:rPr>
        <w:lastRenderedPageBreak/>
        <w:drawing>
          <wp:anchor distT="0" distB="0" distL="114300" distR="114300" simplePos="0" relativeHeight="251658245" behindDoc="0" locked="0" layoutInCell="1" allowOverlap="1" wp14:anchorId="549D326D" wp14:editId="17F6DB2A">
            <wp:simplePos x="0" y="0"/>
            <wp:positionH relativeFrom="column">
              <wp:posOffset>-900431</wp:posOffset>
            </wp:positionH>
            <wp:positionV relativeFrom="paragraph">
              <wp:posOffset>-919480</wp:posOffset>
            </wp:positionV>
            <wp:extent cx="7555659" cy="10687050"/>
            <wp:effectExtent l="0" t="0" r="7620" b="0"/>
            <wp:wrapNone/>
            <wp:docPr id="1329890359" name="Picture 16"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90359" name="Picture 16" descr="A close-up of a letter&#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566057" cy="10701757"/>
                    </a:xfrm>
                    <a:prstGeom prst="rect">
                      <a:avLst/>
                    </a:prstGeom>
                  </pic:spPr>
                </pic:pic>
              </a:graphicData>
            </a:graphic>
            <wp14:sizeRelH relativeFrom="margin">
              <wp14:pctWidth>0</wp14:pctWidth>
            </wp14:sizeRelH>
            <wp14:sizeRelV relativeFrom="margin">
              <wp14:pctHeight>0</wp14:pctHeight>
            </wp14:sizeRelV>
          </wp:anchor>
        </w:drawing>
      </w:r>
    </w:p>
    <w:sectPr w:rsidR="000E21B9" w:rsidRPr="006E2F63" w:rsidSect="000325A5">
      <w:headerReference w:type="even" r:id="rId44"/>
      <w:headerReference w:type="default" r:id="rId45"/>
      <w:footerReference w:type="even" r:id="rId46"/>
      <w:footerReference w:type="default" r:id="rId47"/>
      <w:headerReference w:type="first" r:id="rId48"/>
      <w:footerReference w:type="first" r:id="rId49"/>
      <w:pgSz w:w="11906" w:h="16838" w:code="9"/>
      <w:pgMar w:top="1418" w:right="1418" w:bottom="1418" w:left="1418" w:header="1134" w:footer="340" w:gutter="0"/>
      <w:pgNumType w:chapStyle="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B3BFB" w14:textId="77777777" w:rsidR="00C34F19" w:rsidRPr="003816C4" w:rsidRDefault="00C34F19" w:rsidP="00CC6183">
      <w:r w:rsidRPr="003816C4">
        <w:separator/>
      </w:r>
    </w:p>
  </w:endnote>
  <w:endnote w:type="continuationSeparator" w:id="0">
    <w:p w14:paraId="74A1CAB1" w14:textId="77777777" w:rsidR="00C34F19" w:rsidRPr="003816C4" w:rsidRDefault="00C34F19" w:rsidP="00CC6183">
      <w:r w:rsidRPr="003816C4">
        <w:continuationSeparator/>
      </w:r>
    </w:p>
  </w:endnote>
  <w:endnote w:type="continuationNotice" w:id="1">
    <w:p w14:paraId="115E507A" w14:textId="77777777" w:rsidR="00C34F19" w:rsidRPr="003816C4" w:rsidRDefault="00C34F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0A972" w14:textId="21F9AA46" w:rsidR="00E276CC" w:rsidRPr="003816C4" w:rsidRDefault="00FD0541" w:rsidP="00E276CC">
    <w:pPr>
      <w:pStyle w:val="FooterLeft"/>
      <w:framePr w:wrap="around"/>
    </w:pPr>
    <w:r>
      <w:rPr>
        <w:noProof/>
      </w:rPr>
      <mc:AlternateContent>
        <mc:Choice Requires="wps">
          <w:drawing>
            <wp:anchor distT="0" distB="0" distL="0" distR="0" simplePos="0" relativeHeight="251658241" behindDoc="0" locked="0" layoutInCell="1" allowOverlap="1" wp14:anchorId="0205F9BA" wp14:editId="52418E61">
              <wp:simplePos x="635" y="635"/>
              <wp:positionH relativeFrom="page">
                <wp:align>center</wp:align>
              </wp:positionH>
              <wp:positionV relativeFrom="page">
                <wp:align>bottom</wp:align>
              </wp:positionV>
              <wp:extent cx="295910" cy="307975"/>
              <wp:effectExtent l="0" t="0" r="8890" b="0"/>
              <wp:wrapNone/>
              <wp:docPr id="1840735981" name="Text Box 1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6F53115" w14:textId="4768D396"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05F9BA" id="_x0000_t202" coordsize="21600,21600" o:spt="202" path="m,l,21600r21600,l21600,xe">
              <v:stroke joinstyle="miter"/>
              <v:path gradientshapeok="t" o:connecttype="rect"/>
            </v:shapetype>
            <v:shape id="Text Box 11" o:spid="_x0000_s1028" type="#_x0000_t202" alt="PUBLIC" style="position:absolute;margin-left:0;margin-top:0;width:23.3pt;height:24.2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bxDAIAABwEAAAOAAAAZHJzL2Uyb0RvYy54bWysU8Fu2zAMvQ/YPwi6L3YyZF2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YnuG8Q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46F53115" w14:textId="4768D396"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E276CC" w:rsidRPr="003816C4">
      <w:fldChar w:fldCharType="begin"/>
    </w:r>
    <w:r w:rsidR="00E276CC" w:rsidRPr="003816C4">
      <w:instrText xml:space="preserve"> PAGE   \* MERGEFORMAT </w:instrText>
    </w:r>
    <w:r w:rsidR="00E276CC" w:rsidRPr="003816C4">
      <w:fldChar w:fldCharType="separate"/>
    </w:r>
    <w:r w:rsidR="00E276CC" w:rsidRPr="003816C4">
      <w:t>2</w:t>
    </w:r>
    <w:r w:rsidR="00E276CC" w:rsidRPr="003816C4">
      <w:fldChar w:fldCharType="end"/>
    </w:r>
    <w:r w:rsidR="00E276CC" w:rsidRPr="003816C4">
      <w:t xml:space="preserve"> | </w:t>
    </w:r>
    <w:fldSimple w:instr=" STYLEREF  &quot;Heading 1&quot;  \* MERGEFORMAT ">
      <w:r w:rsidR="00D83237" w:rsidRPr="00831583">
        <w:t>Groundwater</w:t>
      </w:r>
    </w:fldSimple>
    <w:r w:rsidR="00E276CC" w:rsidRPr="00831583">
      <w:t xml:space="preserve"> </w:t>
    </w:r>
  </w:p>
  <w:p w14:paraId="2E913396" w14:textId="77777777" w:rsidR="00425260" w:rsidRPr="003816C4" w:rsidRDefault="00CA15B0" w:rsidP="00E276CC">
    <w:pPr>
      <w:pStyle w:val="Footerright"/>
      <w:framePr w:wrap="around"/>
    </w:pPr>
    <w:sdt>
      <w:sdt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EndPr/>
      <w:sdtContent>
        <w:r w:rsidR="0AE81A1E" w:rsidRPr="003816C4">
          <w:rPr>
            <w:rStyle w:val="PlaceholderText"/>
          </w:rPr>
          <w:t>[Date] and</w:t>
        </w:r>
      </w:sdtContent>
    </w:sdt>
    <w:r w:rsidR="0AE81A1E" w:rsidRPr="003816C4">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AE81A1E" w:rsidRPr="003816C4">
          <w:rPr>
            <w:rStyle w:val="PlaceholderText"/>
          </w:rPr>
          <w:t>[00] linked to document details</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B6D71" w14:textId="2BAECF3F" w:rsidR="000325A5" w:rsidRDefault="00FD0541" w:rsidP="000325A5">
    <w:pPr>
      <w:pStyle w:val="FooterLeft"/>
      <w:framePr w:wrap="around"/>
    </w:pPr>
    <w:r>
      <w:rPr>
        <w:noProof/>
      </w:rPr>
      <mc:AlternateContent>
        <mc:Choice Requires="wps">
          <w:drawing>
            <wp:anchor distT="0" distB="0" distL="0" distR="0" simplePos="0" relativeHeight="251658248" behindDoc="0" locked="0" layoutInCell="1" allowOverlap="1" wp14:anchorId="78963E83" wp14:editId="35A4832B">
              <wp:simplePos x="635" y="635"/>
              <wp:positionH relativeFrom="page">
                <wp:align>center</wp:align>
              </wp:positionH>
              <wp:positionV relativeFrom="page">
                <wp:align>bottom</wp:align>
              </wp:positionV>
              <wp:extent cx="295910" cy="307975"/>
              <wp:effectExtent l="0" t="0" r="8890" b="0"/>
              <wp:wrapNone/>
              <wp:docPr id="1977496215" name="Text Box 2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82C7DCB" w14:textId="0DE2D39A"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963E83" id="_x0000_t202" coordsize="21600,21600" o:spt="202" path="m,l,21600r21600,l21600,xe">
              <v:stroke joinstyle="miter"/>
              <v:path gradientshapeok="t" o:connecttype="rect"/>
            </v:shapetype>
            <v:shape id="Text Box 20" o:spid="_x0000_s1037" type="#_x0000_t202" alt="PUBLIC" style="position:absolute;margin-left:0;margin-top:0;width:23.3pt;height:24.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Dzi3Tw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682C7DCB" w14:textId="0DE2D39A"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0325A5" w:rsidRPr="00BC4E10">
      <w:fldChar w:fldCharType="begin"/>
    </w:r>
    <w:r w:rsidR="000325A5" w:rsidRPr="00BC4E10">
      <w:instrText xml:space="preserve"> PAGE   \* MERGEFORMAT </w:instrText>
    </w:r>
    <w:r w:rsidR="000325A5" w:rsidRPr="00BC4E10">
      <w:fldChar w:fldCharType="separate"/>
    </w:r>
    <w:r w:rsidR="000325A5">
      <w:t>1-6</w:t>
    </w:r>
    <w:r w:rsidR="000325A5" w:rsidRPr="00BC4E10">
      <w:fldChar w:fldCharType="end"/>
    </w:r>
    <w:r w:rsidR="000325A5">
      <w:t xml:space="preserve"> | </w:t>
    </w:r>
    <w:r w:rsidR="000325A5">
      <w:rPr>
        <w:noProof/>
      </w:rPr>
      <w:fldChar w:fldCharType="begin"/>
    </w:r>
    <w:r w:rsidR="000325A5">
      <w:rPr>
        <w:noProof/>
      </w:rPr>
      <w:instrText xml:space="preserve"> STYLEREF  "Heading 1"  \* MERGEFORMAT </w:instrText>
    </w:r>
    <w:r w:rsidR="000325A5">
      <w:rPr>
        <w:noProof/>
      </w:rPr>
      <w:fldChar w:fldCharType="separate"/>
    </w:r>
    <w:r w:rsidR="00CA15B0">
      <w:rPr>
        <w:noProof/>
      </w:rPr>
      <w:t>Groundwater</w:t>
    </w:r>
    <w:r w:rsidR="000325A5">
      <w:rPr>
        <w:noProof/>
      </w:rPr>
      <w:fldChar w:fldCharType="end"/>
    </w:r>
    <w:r w:rsidR="000325A5">
      <w:rPr>
        <w:noProof/>
      </w:rPr>
      <w:t xml:space="preserve"> </w:t>
    </w:r>
  </w:p>
  <w:p w14:paraId="6977641E" w14:textId="7AA4F3CF" w:rsidR="00084150" w:rsidRPr="003816C4" w:rsidRDefault="0008415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D07C1" w14:textId="5E0D4319" w:rsidR="00230670" w:rsidRPr="003816C4" w:rsidRDefault="00FD0541" w:rsidP="00831583">
    <w:pPr>
      <w:pStyle w:val="Footerright"/>
      <w:framePr w:wrap="around"/>
    </w:pPr>
    <w:r>
      <w:rPr>
        <w:noProof/>
      </w:rPr>
      <mc:AlternateContent>
        <mc:Choice Requires="wps">
          <w:drawing>
            <wp:anchor distT="0" distB="0" distL="0" distR="0" simplePos="0" relativeHeight="251658249" behindDoc="0" locked="0" layoutInCell="1" allowOverlap="1" wp14:anchorId="5684F99B" wp14:editId="18A0A031">
              <wp:simplePos x="635" y="635"/>
              <wp:positionH relativeFrom="page">
                <wp:align>center</wp:align>
              </wp:positionH>
              <wp:positionV relativeFrom="page">
                <wp:align>bottom</wp:align>
              </wp:positionV>
              <wp:extent cx="295910" cy="307975"/>
              <wp:effectExtent l="0" t="0" r="8890" b="0"/>
              <wp:wrapNone/>
              <wp:docPr id="432800256" name="Text Box 2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AF7018E" w14:textId="3103810C"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84F99B" id="_x0000_t202" coordsize="21600,21600" o:spt="202" path="m,l,21600r21600,l21600,xe">
              <v:stroke joinstyle="miter"/>
              <v:path gradientshapeok="t" o:connecttype="rect"/>
            </v:shapetype>
            <v:shape id="Text Box 21" o:spid="_x0000_s1038" type="#_x0000_t202" alt="PUBLIC" style="position:absolute;left:0;text-align:left;margin-left:0;margin-top:0;width:23.3pt;height:24.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FFdbwE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3AF7018E" w14:textId="3103810C"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831583">
      <w:t xml:space="preserve"> </w:t>
    </w:r>
    <w:fldSimple w:instr="STYLEREF  &quot;Heading 1&quot;  \* MERGEFORMAT">
      <w:r w:rsidR="00CA15B0">
        <w:rPr>
          <w:noProof/>
        </w:rPr>
        <w:t>Groundwater</w:t>
      </w:r>
    </w:fldSimple>
    <w:r w:rsidR="00831583">
      <w:rPr>
        <w:noProof/>
      </w:rPr>
      <w:t xml:space="preserve"> </w:t>
    </w:r>
    <w:r w:rsidR="00831583">
      <w:t xml:space="preserve">|  </w:t>
    </w:r>
    <w:r w:rsidR="00230670" w:rsidRPr="003816C4">
      <w:fldChar w:fldCharType="begin"/>
    </w:r>
    <w:r w:rsidR="00230670" w:rsidRPr="003816C4">
      <w:instrText xml:space="preserve"> PAGE   \* MERGEFORMAT </w:instrText>
    </w:r>
    <w:r w:rsidR="00230670" w:rsidRPr="003816C4">
      <w:fldChar w:fldCharType="separate"/>
    </w:r>
    <w:r w:rsidR="00230670" w:rsidRPr="003816C4">
      <w:t>5</w:t>
    </w:r>
    <w:r w:rsidR="00230670" w:rsidRPr="003816C4">
      <w:fldChar w:fldCharType="end"/>
    </w:r>
    <w:r w:rsidR="00831583">
      <w:t xml:space="preserve">   </w:t>
    </w:r>
    <w:r w:rsidR="006B7424" w:rsidRPr="003816C4">
      <w:t xml:space="preserve">  </w:t>
    </w:r>
  </w:p>
  <w:p w14:paraId="18DA54FE" w14:textId="2CF27FA1" w:rsidR="00084150" w:rsidRPr="003816C4" w:rsidRDefault="0008415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0F7BE" w14:textId="4BCF0EA1" w:rsidR="00084150" w:rsidRPr="003816C4" w:rsidRDefault="00FD0541">
    <w:pPr>
      <w:pStyle w:val="Footer"/>
    </w:pPr>
    <w:r>
      <w:rPr>
        <w:noProof/>
      </w:rPr>
      <mc:AlternateContent>
        <mc:Choice Requires="wps">
          <w:drawing>
            <wp:anchor distT="0" distB="0" distL="0" distR="0" simplePos="0" relativeHeight="251658247" behindDoc="0" locked="0" layoutInCell="1" allowOverlap="1" wp14:anchorId="617120F6" wp14:editId="324FD4C6">
              <wp:simplePos x="635" y="635"/>
              <wp:positionH relativeFrom="page">
                <wp:align>center</wp:align>
              </wp:positionH>
              <wp:positionV relativeFrom="page">
                <wp:align>bottom</wp:align>
              </wp:positionV>
              <wp:extent cx="295910" cy="307975"/>
              <wp:effectExtent l="0" t="0" r="8890" b="0"/>
              <wp:wrapNone/>
              <wp:docPr id="1868913274" name="Text Box 1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38DBA41" w14:textId="7F2F3330"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7120F6" id="_x0000_t202" coordsize="21600,21600" o:spt="202" path="m,l,21600r21600,l21600,xe">
              <v:stroke joinstyle="miter"/>
              <v:path gradientshapeok="t" o:connecttype="rect"/>
            </v:shapetype>
            <v:shape id="Text Box 19" o:spid="_x0000_s1039" type="#_x0000_t202" alt="PUBLIC" style="position:absolute;margin-left:0;margin-top:0;width:23.3pt;height:24.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LHDg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VXJF2P3O6hONBTCsG/v5Kah0g/Ch2eBtGDqlkQb&#10;nujQBrqSw9nirAb88Td/zCfeKcpZR4IpuSVFc2a+WdpH1NZo4GjskjFd5POc4vbQ3gHJcEovwslk&#10;kheDGU2N0L6SnNexEIWElVSu5LvRvAuDcuk5SLVepySSkRPhwW6djNCRrsjlS/8q0J0JD7SpRxjV&#10;JIo3vA+58aZ360Mg9tNSIrUDkWfGSYJprefnEjX+63/Kuj7q1U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LhmLH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538DBA41" w14:textId="7F2F3330"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CEC01" w14:textId="228B60CE" w:rsidR="00FD0541" w:rsidRDefault="00FD0541">
    <w:pPr>
      <w:pStyle w:val="Footer"/>
    </w:pPr>
    <w:r>
      <w:rPr>
        <w:noProof/>
      </w:rPr>
      <mc:AlternateContent>
        <mc:Choice Requires="wps">
          <w:drawing>
            <wp:anchor distT="0" distB="0" distL="0" distR="0" simplePos="0" relativeHeight="251658255" behindDoc="0" locked="0" layoutInCell="1" allowOverlap="1" wp14:anchorId="580D874A" wp14:editId="1EE53177">
              <wp:simplePos x="635" y="635"/>
              <wp:positionH relativeFrom="page">
                <wp:align>center</wp:align>
              </wp:positionH>
              <wp:positionV relativeFrom="page">
                <wp:align>bottom</wp:align>
              </wp:positionV>
              <wp:extent cx="295910" cy="307975"/>
              <wp:effectExtent l="0" t="0" r="8890" b="0"/>
              <wp:wrapNone/>
              <wp:docPr id="1579213680" name="Text Box 2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326AFF0" w14:textId="1E386155"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0D874A" id="_x0000_t202" coordsize="21600,21600" o:spt="202" path="m,l,21600r21600,l21600,xe">
              <v:stroke joinstyle="miter"/>
              <v:path gradientshapeok="t" o:connecttype="rect"/>
            </v:shapetype>
            <v:shape id="Text Box 23" o:spid="_x0000_s1040" type="#_x0000_t202" alt="PUBLIC" style="position:absolute;margin-left:0;margin-top:0;width:23.3pt;height:24.2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p6DgIAAB0EAAAOAAAAZHJzL2Uyb0RvYy54bWysU8Fu2zAMvQ/YPwi6L3ZSZF2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wxX0wxwjF0k98ubucRJbtets6HbwI0iUZJHW4lkcWO&#10;Wx+G1DEl1jKwaZVKm1HmNwdiRk927TBaoa960tbY/c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LIwp6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2326AFF0" w14:textId="1E386155"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E525D" w14:textId="095BA270" w:rsidR="006B7424" w:rsidRPr="003816C4" w:rsidRDefault="00FD0541" w:rsidP="00831583">
    <w:pPr>
      <w:pStyle w:val="Footerright"/>
      <w:framePr w:wrap="around"/>
    </w:pPr>
    <w:r>
      <w:rPr>
        <w:noProof/>
      </w:rPr>
      <mc:AlternateContent>
        <mc:Choice Requires="wps">
          <w:drawing>
            <wp:anchor distT="0" distB="0" distL="0" distR="0" simplePos="0" relativeHeight="251658250" behindDoc="0" locked="0" layoutInCell="1" allowOverlap="1" wp14:anchorId="042A960B" wp14:editId="242C69D7">
              <wp:simplePos x="635" y="635"/>
              <wp:positionH relativeFrom="page">
                <wp:align>center</wp:align>
              </wp:positionH>
              <wp:positionV relativeFrom="page">
                <wp:align>bottom</wp:align>
              </wp:positionV>
              <wp:extent cx="295910" cy="307975"/>
              <wp:effectExtent l="0" t="0" r="8890" b="0"/>
              <wp:wrapNone/>
              <wp:docPr id="1339995738" name="Text Box 2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C27BC38" w14:textId="2B6C8E9B"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2A960B" id="_x0000_t202" coordsize="21600,21600" o:spt="202" path="m,l,21600r21600,l21600,xe">
              <v:stroke joinstyle="miter"/>
              <v:path gradientshapeok="t" o:connecttype="rect"/>
            </v:shapetype>
            <v:shape id="Text Box 24" o:spid="_x0000_s1041" type="#_x0000_t202" alt="PUBLIC" style="position:absolute;left:0;text-align:left;margin-left:0;margin-top:0;width:23.3pt;height:24.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fKDwIAAB0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" filled="f" stroked="f">
              <v:fill o:detectmouseclick="t"/>
              <v:textbox style="mso-fit-shape-to-text:t" inset="0,0,0,15pt">
                <w:txbxContent>
                  <w:p w14:paraId="4C27BC38" w14:textId="2B6C8E9B"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STYLEREF  &quot;Heading 1&quot;  \* MERGEFORMAT">
      <w:r w:rsidR="00CA15B0">
        <w:rPr>
          <w:noProof/>
        </w:rPr>
        <w:t>Groundwater</w:t>
      </w:r>
    </w:fldSimple>
    <w:r w:rsidR="00831583">
      <w:rPr>
        <w:noProof/>
      </w:rPr>
      <w:t xml:space="preserve"> | </w:t>
    </w:r>
    <w:r w:rsidR="006B7424" w:rsidRPr="003816C4">
      <w:fldChar w:fldCharType="begin"/>
    </w:r>
    <w:r w:rsidR="006B7424" w:rsidRPr="003816C4">
      <w:instrText xml:space="preserve"> PAGE   \* MERGEFORMAT </w:instrText>
    </w:r>
    <w:r w:rsidR="006B7424" w:rsidRPr="003816C4">
      <w:fldChar w:fldCharType="separate"/>
    </w:r>
    <w:r w:rsidR="006B7424" w:rsidRPr="003816C4">
      <w:t>5</w:t>
    </w:r>
    <w:r w:rsidR="006B7424" w:rsidRPr="003816C4">
      <w:fldChar w:fldCharType="end"/>
    </w:r>
    <w:r w:rsidR="006B7424" w:rsidRPr="003816C4">
      <w:t xml:space="preserve"> </w:t>
    </w:r>
  </w:p>
  <w:p w14:paraId="4E3A9DBD" w14:textId="77777777" w:rsidR="006B7424" w:rsidRPr="003816C4" w:rsidRDefault="006B742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8145" w14:textId="1AE587EA" w:rsidR="00FD0541" w:rsidRDefault="00FD0541">
    <w:pPr>
      <w:pStyle w:val="Footer"/>
    </w:pPr>
    <w:r>
      <w:rPr>
        <w:noProof/>
      </w:rPr>
      <mc:AlternateContent>
        <mc:Choice Requires="wps">
          <w:drawing>
            <wp:anchor distT="0" distB="0" distL="0" distR="0" simplePos="0" relativeHeight="251658256" behindDoc="0" locked="0" layoutInCell="1" allowOverlap="1" wp14:anchorId="729BEB21" wp14:editId="353615F9">
              <wp:simplePos x="635" y="635"/>
              <wp:positionH relativeFrom="page">
                <wp:align>center</wp:align>
              </wp:positionH>
              <wp:positionV relativeFrom="page">
                <wp:align>bottom</wp:align>
              </wp:positionV>
              <wp:extent cx="295910" cy="307975"/>
              <wp:effectExtent l="0" t="0" r="8890" b="0"/>
              <wp:wrapNone/>
              <wp:docPr id="1889010054" name="Text Box 2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187A3B6" w14:textId="2BA06FFC"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9BEB21" id="_x0000_t202" coordsize="21600,21600" o:spt="202" path="m,l,21600r21600,l21600,xe">
              <v:stroke joinstyle="miter"/>
              <v:path gradientshapeok="t" o:connecttype="rect"/>
            </v:shapetype>
            <v:shape id="Text Box 22" o:spid="_x0000_s1042" type="#_x0000_t202" alt="PUBLIC" style="position:absolute;margin-left:0;margin-top:0;width:23.3pt;height:24.2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hHDg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V1Pxvb30F1oqkQhoV7JzcN1X4QPjwLpA1Tu6Ta&#10;8ESHNtCVHM4WZzXgj7/5Yz4RT1HOOlJMyS1JmjPzzdJCorhGA0djl4zpIp/nFLeH9g5Ih1N6Ek4m&#10;k7wYzGhqhPaV9LyOhSgkrKRyJd+N5l0YpEvvQar1OiWRjpwID3brZISOfEUyX/pXge7MeKBVPcIo&#10;J1G8IX7IjTe9Wx8C0Z+2ErkdiDxTThpMez2/lyjyX/9T1vVVr34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DmnLhH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6187A3B6" w14:textId="2BA06FFC"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1FBEA" w14:textId="6D41E2B5" w:rsidR="00FD0541" w:rsidRDefault="00FD0541">
    <w:pPr>
      <w:pStyle w:val="Footer"/>
    </w:pPr>
    <w:r>
      <w:rPr>
        <w:noProof/>
      </w:rPr>
      <mc:AlternateContent>
        <mc:Choice Requires="wps">
          <w:drawing>
            <wp:anchor distT="0" distB="0" distL="0" distR="0" simplePos="0" relativeHeight="251658257" behindDoc="0" locked="0" layoutInCell="1" allowOverlap="1" wp14:anchorId="13A32DD2" wp14:editId="018FF55E">
              <wp:simplePos x="635" y="635"/>
              <wp:positionH relativeFrom="page">
                <wp:align>center</wp:align>
              </wp:positionH>
              <wp:positionV relativeFrom="page">
                <wp:align>bottom</wp:align>
              </wp:positionV>
              <wp:extent cx="295910" cy="307975"/>
              <wp:effectExtent l="0" t="0" r="8890" b="0"/>
              <wp:wrapNone/>
              <wp:docPr id="1735822612" name="Text Box 2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68F6E6D" w14:textId="578C3925"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A32DD2" id="_x0000_t202" coordsize="21600,21600" o:spt="202" path="m,l,21600r21600,l21600,xe">
              <v:stroke joinstyle="miter"/>
              <v:path gradientshapeok="t" o:connecttype="rect"/>
            </v:shapetype>
            <v:shape id="Text Box 26" o:spid="_x0000_s1043" type="#_x0000_t202" alt="PUBLIC" style="position:absolute;margin-left:0;margin-top:0;width:23.3pt;height:24.2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KxDgIAAB0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bY/c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SYXKx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568F6E6D" w14:textId="578C3925"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75D5" w14:textId="40D6CB10" w:rsidR="00340A76" w:rsidRPr="003816C4" w:rsidRDefault="00FD0541" w:rsidP="00831583">
    <w:pPr>
      <w:pStyle w:val="Footerright"/>
      <w:framePr w:wrap="around"/>
    </w:pPr>
    <w:r>
      <w:rPr>
        <w:noProof/>
      </w:rPr>
      <mc:AlternateContent>
        <mc:Choice Requires="wps">
          <w:drawing>
            <wp:anchor distT="0" distB="0" distL="0" distR="0" simplePos="0" relativeHeight="251658251" behindDoc="0" locked="0" layoutInCell="1" allowOverlap="1" wp14:anchorId="308C6756" wp14:editId="0B299534">
              <wp:simplePos x="635" y="635"/>
              <wp:positionH relativeFrom="page">
                <wp:align>center</wp:align>
              </wp:positionH>
              <wp:positionV relativeFrom="page">
                <wp:align>bottom</wp:align>
              </wp:positionV>
              <wp:extent cx="295910" cy="307975"/>
              <wp:effectExtent l="0" t="0" r="8890" b="0"/>
              <wp:wrapNone/>
              <wp:docPr id="706831989" name="Text Box 2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0A10096" w14:textId="6BA0767F"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C6756" id="_x0000_t202" coordsize="21600,21600" o:spt="202" path="m,l,21600r21600,l21600,xe">
              <v:stroke joinstyle="miter"/>
              <v:path gradientshapeok="t" o:connecttype="rect"/>
            </v:shapetype>
            <v:shape id="Text Box 27" o:spid="_x0000_s1044" type="#_x0000_t202" alt="PUBLIC" style="position:absolute;left:0;text-align:left;margin-left:0;margin-top:0;width:23.3pt;height:24.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DgIAAB0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WvsfjG2X0F9xqkcDAv3lm9brL1jPjwzhxvGdlG1&#10;4QkPqaArKVwsShpwP/7mj/lIPEYp6VAxJTUoaUrUN4MLieIaDTcaVTKmy3yeY9wc9T2gDqf4JCxP&#10;JnpdUKMpHehX1PMmFsIQMxzLlbQazfswSBffAxebTUpCHVkWdmZveYSOfEUyX/pX5uyF8YCreoRR&#10;Tqx4Q/yQG296uzkGpD9tJXI7EHmhHDWY9np5L1Hkv/6nrNurXv8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3sCM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70A10096" w14:textId="6BA0767F"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STYLEREF  &quot;Heading 1&quot;  \* MERGEFORMAT">
      <w:r w:rsidR="00CA15B0">
        <w:rPr>
          <w:noProof/>
        </w:rPr>
        <w:t>Groundwater</w:t>
      </w:r>
    </w:fldSimple>
    <w:r w:rsidR="00831583">
      <w:rPr>
        <w:noProof/>
      </w:rPr>
      <w:t xml:space="preserve"> | </w:t>
    </w:r>
    <w:r w:rsidR="00340A76" w:rsidRPr="003816C4">
      <w:fldChar w:fldCharType="begin"/>
    </w:r>
    <w:r w:rsidR="00340A76" w:rsidRPr="003816C4">
      <w:instrText xml:space="preserve"> PAGE   \* MERGEFORMAT </w:instrText>
    </w:r>
    <w:r w:rsidR="00340A76" w:rsidRPr="003816C4">
      <w:fldChar w:fldCharType="separate"/>
    </w:r>
    <w:r w:rsidR="00340A76" w:rsidRPr="003816C4">
      <w:t>5</w:t>
    </w:r>
    <w:r w:rsidR="00340A76" w:rsidRPr="003816C4">
      <w:fldChar w:fldCharType="end"/>
    </w:r>
    <w:r w:rsidR="00340A76" w:rsidRPr="003816C4">
      <w:t xml:space="preserve">  </w:t>
    </w:r>
  </w:p>
  <w:p w14:paraId="6FB845D7" w14:textId="77777777" w:rsidR="00340A76" w:rsidRPr="003816C4" w:rsidRDefault="00340A7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6216D" w14:textId="5C24D8A1" w:rsidR="00FD0541" w:rsidRDefault="00FD0541">
    <w:pPr>
      <w:pStyle w:val="Footer"/>
    </w:pPr>
    <w:r>
      <w:rPr>
        <w:noProof/>
      </w:rPr>
      <mc:AlternateContent>
        <mc:Choice Requires="wps">
          <w:drawing>
            <wp:anchor distT="0" distB="0" distL="0" distR="0" simplePos="0" relativeHeight="251658258" behindDoc="0" locked="0" layoutInCell="1" allowOverlap="1" wp14:anchorId="0C9783CA" wp14:editId="63E2EDB8">
              <wp:simplePos x="635" y="635"/>
              <wp:positionH relativeFrom="page">
                <wp:align>center</wp:align>
              </wp:positionH>
              <wp:positionV relativeFrom="page">
                <wp:align>bottom</wp:align>
              </wp:positionV>
              <wp:extent cx="295910" cy="307975"/>
              <wp:effectExtent l="0" t="0" r="8890" b="0"/>
              <wp:wrapNone/>
              <wp:docPr id="5258180" name="Text Box 2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225167D" w14:textId="33DC7641"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9783CA" id="_x0000_t202" coordsize="21600,21600" o:spt="202" path="m,l,21600r21600,l21600,xe">
              <v:stroke joinstyle="miter"/>
              <v:path gradientshapeok="t" o:connecttype="rect"/>
            </v:shapetype>
            <v:shape id="Text Box 25" o:spid="_x0000_s1045" type="#_x0000_t202" alt="PUBLIC" style="position:absolute;margin-left:0;margin-top:0;width:23.3pt;height:24.2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X3DQIAAB0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RV1nwpH1xaqI02FcFq4d3LVUu218OFJIG2Y2iXV&#10;hkc6ag1dyeFscdYA/nrLH/OJeIpy1pFiSm5J0pzpH5YWEsU1GDgY22SMZ/k0p7jdmzsgHY7pSTiZ&#10;TPJi0INZI5gX0vMyFqKQsJLKlXw7mHfhJF16D1ItlymJdOREWNuNkxE68hXJfO5fBLoz44FW9QCD&#10;nETxivhTbrzp3XIfiP60lSuRZ8pJg2mv5/cSRf7nf8q6vurFb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OWgpfc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1225167D" w14:textId="33DC7641"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66416" w14:textId="72428317" w:rsidR="00E276CC" w:rsidRPr="003816C4" w:rsidRDefault="00FD0541" w:rsidP="00E276CC">
    <w:pPr>
      <w:pStyle w:val="FooterLeft"/>
      <w:framePr w:wrap="around"/>
    </w:pPr>
    <w:r>
      <w:rPr>
        <w:noProof/>
      </w:rPr>
      <mc:AlternateContent>
        <mc:Choice Requires="wps">
          <w:drawing>
            <wp:anchor distT="0" distB="0" distL="0" distR="0" simplePos="0" relativeHeight="251658242" behindDoc="0" locked="0" layoutInCell="1" allowOverlap="1" wp14:anchorId="7CABFB2B" wp14:editId="67DD8226">
              <wp:simplePos x="635" y="635"/>
              <wp:positionH relativeFrom="page">
                <wp:align>center</wp:align>
              </wp:positionH>
              <wp:positionV relativeFrom="page">
                <wp:align>bottom</wp:align>
              </wp:positionV>
              <wp:extent cx="295910" cy="307975"/>
              <wp:effectExtent l="0" t="0" r="8890" b="0"/>
              <wp:wrapNone/>
              <wp:docPr id="946656755" name="Text Box 1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3DB1616" w14:textId="36EB464D"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ABFB2B" id="_x0000_t202" coordsize="21600,21600" o:spt="202" path="m,l,21600r21600,l21600,xe">
              <v:stroke joinstyle="miter"/>
              <v:path gradientshapeok="t" o:connecttype="rect"/>
            </v:shapetype>
            <v:shape id="Text Box 12" o:spid="_x0000_s1029" type="#_x0000_t202" alt="PUBLIC" style="position:absolute;margin-left:0;margin-top:0;width:23.3pt;height:24.2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3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na/g+pEQyEM+/ZObhoq/SB8eBZIC6ZuSbTh&#10;iQ5toCs5nC3OasAff/PHfOKdopx1JJiSW1I0Z+abpX1EbY0GjsYuGdNFPs8pbg/tHZAMp/QinEwm&#10;eTGY0dQI7SvJeR0LUUhYSeVKvhvNuzAol56DVOt1SiIZOREe7NbJCB3pily+9K8C3ZnwQJt6hFFN&#10;onjD+5Abb3q3PgRiPy0lUjsQeWacJJjWen4uUeO//qes66N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W6Ubc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73DB1616" w14:textId="36EB464D"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EndPr/>
      <w:sdtContent>
        <w:r w:rsidR="0AE81A1E" w:rsidRPr="003816C4">
          <w:rPr>
            <w:rStyle w:val="PlaceholderText"/>
          </w:rPr>
          <w:t>[Date] and</w:t>
        </w:r>
      </w:sdtContent>
    </w:sdt>
    <w:r w:rsidR="0AE81A1E" w:rsidRPr="003816C4">
      <w:t xml:space="preserve">  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AE81A1E" w:rsidRPr="003816C4">
          <w:rPr>
            <w:rStyle w:val="PlaceholderText"/>
          </w:rPr>
          <w:t>[00] linked to document details</w:t>
        </w:r>
      </w:sdtContent>
    </w:sdt>
  </w:p>
  <w:p w14:paraId="2A2A4C9D" w14:textId="78AA0DFA" w:rsidR="009912CB" w:rsidRPr="003816C4" w:rsidRDefault="00D83237" w:rsidP="00E276CC">
    <w:pPr>
      <w:pStyle w:val="Footerright"/>
      <w:framePr w:wrap="around"/>
    </w:pPr>
    <w:fldSimple w:instr="STYLEREF  &quot;Heading 1&quot;  \* MERGEFORMAT">
      <w:r w:rsidRPr="00831583">
        <w:t>Groundwater</w:t>
      </w:r>
    </w:fldSimple>
    <w:r w:rsidR="00E276CC" w:rsidRPr="003816C4">
      <w:t xml:space="preserve"> | </w:t>
    </w:r>
    <w:r w:rsidR="00E276CC" w:rsidRPr="003816C4">
      <w:fldChar w:fldCharType="begin"/>
    </w:r>
    <w:r w:rsidR="00E276CC" w:rsidRPr="003816C4">
      <w:instrText xml:space="preserve"> PAGE   \* MERGEFORMAT </w:instrText>
    </w:r>
    <w:r w:rsidR="00E276CC" w:rsidRPr="003816C4">
      <w:fldChar w:fldCharType="separate"/>
    </w:r>
    <w:r w:rsidR="00E276CC" w:rsidRPr="003816C4">
      <w:t>17</w:t>
    </w:r>
    <w:r w:rsidR="00E276CC" w:rsidRPr="003816C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52501" w14:textId="05348638" w:rsidR="00FD0541" w:rsidRDefault="00FD0541">
    <w:pPr>
      <w:pStyle w:val="Footer"/>
    </w:pPr>
    <w:r>
      <w:rPr>
        <w:noProof/>
      </w:rPr>
      <mc:AlternateContent>
        <mc:Choice Requires="wps">
          <w:drawing>
            <wp:anchor distT="0" distB="0" distL="0" distR="0" simplePos="0" relativeHeight="251658252" behindDoc="0" locked="0" layoutInCell="1" allowOverlap="1" wp14:anchorId="4B0DD3FB" wp14:editId="238FF05B">
              <wp:simplePos x="902525" y="10355283"/>
              <wp:positionH relativeFrom="page">
                <wp:align>center</wp:align>
              </wp:positionH>
              <wp:positionV relativeFrom="page">
                <wp:align>bottom</wp:align>
              </wp:positionV>
              <wp:extent cx="295910" cy="307975"/>
              <wp:effectExtent l="0" t="0" r="8890" b="0"/>
              <wp:wrapNone/>
              <wp:docPr id="1953891134" name="Text Box 1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A5B1618" w14:textId="636B5F2C"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0DD3FB" id="_x0000_t202" coordsize="21600,21600" o:spt="202" path="m,l,21600r21600,l21600,xe">
              <v:stroke joinstyle="miter"/>
              <v:path gradientshapeok="t" o:connecttype="rect"/>
            </v:shapetype>
            <v:shape id="Text Box 10" o:spid="_x0000_s1030" type="#_x0000_t202" alt="PUBLIC" style="position:absolute;margin-left:0;margin-top:0;width:23.3pt;height:24.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xzCQIAABUEAAAOAAAAZHJzL2Uyb0RvYy54bWysU8Fu2zAMvQ/YPwi6L3YyZF2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" filled="f" stroked="f">
              <v:fill o:detectmouseclick="t"/>
              <v:textbox style="mso-fit-shape-to-text:t" inset="0,0,0,15pt">
                <w:txbxContent>
                  <w:p w14:paraId="0A5B1618" w14:textId="636B5F2C"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63FE7" w14:textId="4EA76FCA" w:rsidR="000325A5" w:rsidRDefault="00FD0541" w:rsidP="000325A5">
    <w:pPr>
      <w:pStyle w:val="FooterLeft"/>
      <w:framePr w:wrap="around"/>
    </w:pPr>
    <w:r>
      <w:rPr>
        <w:noProof/>
      </w:rPr>
      <mc:AlternateContent>
        <mc:Choice Requires="wps">
          <w:drawing>
            <wp:anchor distT="0" distB="0" distL="0" distR="0" simplePos="0" relativeHeight="251658244" behindDoc="0" locked="0" layoutInCell="1" allowOverlap="1" wp14:anchorId="3C56DD7C" wp14:editId="509AB5A5">
              <wp:simplePos x="902525" y="10248405"/>
              <wp:positionH relativeFrom="page">
                <wp:align>center</wp:align>
              </wp:positionH>
              <wp:positionV relativeFrom="page">
                <wp:align>bottom</wp:align>
              </wp:positionV>
              <wp:extent cx="295910" cy="307975"/>
              <wp:effectExtent l="0" t="0" r="8890" b="0"/>
              <wp:wrapNone/>
              <wp:docPr id="1568096075" name="Text Box 1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6163C73" w14:textId="1E19B3C3"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56DD7C" id="_x0000_t202" coordsize="21600,21600" o:spt="202" path="m,l,21600r21600,l21600,xe">
              <v:stroke joinstyle="miter"/>
              <v:path gradientshapeok="t" o:connecttype="rect"/>
            </v:shapetype>
            <v:shape id="Text Box 14" o:spid="_x0000_s1031" type="#_x0000_t202" alt="PUBLIC" style="position:absolute;margin-left:0;margin-top:0;width:23.3pt;height:24.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46DgIAABw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euKfhq730F9wqEcDPv2lq9bLL1hPjwzhwvGblG0&#10;4QkPqaCrKJwtShpwP/7mj/nIO0Yp6VAwFTWoaErUN4P7iNoaDTcau2QU83yWY9wc9D2gDAt8EZYn&#10;E70uqNGUDvQrynkVC2GIGY7lKrobzfswKBefAxerVUpCGVkWNmZreYSOdEUuX/pX5uyZ8ICbeoRR&#10;Tax8w/uQG296uzoEZD8tJVI7EHlmHCWY1np+LlHjv/6nrOujXv4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7Of4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06163C73" w14:textId="1E19B3C3"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0325A5" w:rsidRPr="00BC4E10">
      <w:fldChar w:fldCharType="begin"/>
    </w:r>
    <w:r w:rsidR="000325A5" w:rsidRPr="00BC4E10">
      <w:instrText xml:space="preserve"> PAGE   \* MERGEFORMAT </w:instrText>
    </w:r>
    <w:r w:rsidR="000325A5" w:rsidRPr="00BC4E10">
      <w:fldChar w:fldCharType="separate"/>
    </w:r>
    <w:r w:rsidR="000325A5">
      <w:t>1-6</w:t>
    </w:r>
    <w:r w:rsidR="000325A5" w:rsidRPr="00BC4E10">
      <w:fldChar w:fldCharType="end"/>
    </w:r>
    <w:r w:rsidR="000325A5">
      <w:t xml:space="preserve"> | </w:t>
    </w:r>
    <w:r w:rsidR="000325A5">
      <w:rPr>
        <w:noProof/>
      </w:rPr>
      <w:fldChar w:fldCharType="begin"/>
    </w:r>
    <w:r w:rsidR="000325A5">
      <w:rPr>
        <w:noProof/>
      </w:rPr>
      <w:instrText xml:space="preserve"> STYLEREF  "Heading 1"  \* MERGEFORMAT </w:instrText>
    </w:r>
    <w:r w:rsidR="000325A5">
      <w:rPr>
        <w:noProof/>
      </w:rPr>
      <w:fldChar w:fldCharType="separate"/>
    </w:r>
    <w:r w:rsidR="00CA15B0">
      <w:rPr>
        <w:noProof/>
      </w:rPr>
      <w:t>Groundwater</w:t>
    </w:r>
    <w:r w:rsidR="000325A5">
      <w:rPr>
        <w:noProof/>
      </w:rPr>
      <w:fldChar w:fldCharType="end"/>
    </w:r>
    <w:r w:rsidR="000325A5">
      <w:rPr>
        <w:noProof/>
      </w:rPr>
      <w:t xml:space="preserve"> </w:t>
    </w:r>
  </w:p>
  <w:p w14:paraId="056D1703" w14:textId="0A581775" w:rsidR="003F344E" w:rsidRPr="003816C4" w:rsidRDefault="003F344E" w:rsidP="009246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B3553" w14:textId="64645BEE" w:rsidR="003F344E" w:rsidRPr="003816C4" w:rsidRDefault="00FD0541" w:rsidP="00831583">
    <w:pPr>
      <w:pStyle w:val="Footerright"/>
      <w:framePr w:wrap="around"/>
    </w:pPr>
    <w:r>
      <w:rPr>
        <w:noProof/>
      </w:rPr>
      <mc:AlternateContent>
        <mc:Choice Requires="wps">
          <w:drawing>
            <wp:anchor distT="0" distB="0" distL="0" distR="0" simplePos="0" relativeHeight="251658245" behindDoc="0" locked="0" layoutInCell="1" allowOverlap="1" wp14:anchorId="74FC1E57" wp14:editId="4F530473">
              <wp:simplePos x="3776353" y="10248405"/>
              <wp:positionH relativeFrom="page">
                <wp:align>center</wp:align>
              </wp:positionH>
              <wp:positionV relativeFrom="page">
                <wp:align>bottom</wp:align>
              </wp:positionV>
              <wp:extent cx="295910" cy="307975"/>
              <wp:effectExtent l="0" t="0" r="8890" b="0"/>
              <wp:wrapNone/>
              <wp:docPr id="1838140512" name="Text Box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B2F4689" w14:textId="6FB1CF28"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FC1E57" id="_x0000_t202" coordsize="21600,21600" o:spt="202" path="m,l,21600r21600,l21600,xe">
              <v:stroke joinstyle="miter"/>
              <v:path gradientshapeok="t" o:connecttype="rect"/>
            </v:shapetype>
            <v:shape id="Text Box 15" o:spid="_x0000_s1032" type="#_x0000_t202" alt="PUBLIC" style="position:absolute;left:0;text-align:left;margin-left:0;margin-top:0;width:23.3pt;height:24.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wHDAIAABw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VXJU93o2UJ1pKEQTvv2Tq5aKr0WPjwJpAVTtyTa&#10;8EhHraErOZwtzhrAX2/5Yz7xTlHOOhJMyS0pmjP9w9I+orYGAwdjm4zxLJ/mFLd7cwckwzG9CCeT&#10;SV4MejBrBPNCcl7GQhQSVlK5km8H8y6clEvPQarlMiWRjJwIa7txMkJHuiKXz/2LQHcmPNCmHmBQ&#10;kyhe8X7KjTe9W+4DsZ+WciXyzDhJMK31/Fyixv/8T1nXR734D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1oZMBw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4B2F4689" w14:textId="6FB1CF28"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STYLEREF  &quot;Heading 1&quot;  \* MERGEFORMAT">
      <w:r w:rsidR="00CA15B0">
        <w:rPr>
          <w:noProof/>
        </w:rPr>
        <w:t>Groundwater</w:t>
      </w:r>
    </w:fldSimple>
    <w:r w:rsidR="00831583">
      <w:t xml:space="preserve"> | </w:t>
    </w:r>
    <w:r w:rsidR="006B7424" w:rsidRPr="003816C4">
      <w:fldChar w:fldCharType="begin"/>
    </w:r>
    <w:r w:rsidR="006B7424" w:rsidRPr="003816C4">
      <w:instrText xml:space="preserve"> PAGE   \* MERGEFORMAT </w:instrText>
    </w:r>
    <w:r w:rsidR="006B7424" w:rsidRPr="003816C4">
      <w:fldChar w:fldCharType="separate"/>
    </w:r>
    <w:r w:rsidR="006B7424" w:rsidRPr="003816C4">
      <w:t>5</w:t>
    </w:r>
    <w:r w:rsidR="006B7424" w:rsidRPr="003816C4">
      <w:fldChar w:fldCharType="end"/>
    </w:r>
    <w:r w:rsidR="006B7424" w:rsidRPr="003816C4">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5D248" w14:textId="4796C386" w:rsidR="00084150" w:rsidRPr="003816C4" w:rsidRDefault="00FD0541">
    <w:pPr>
      <w:pStyle w:val="Footer"/>
    </w:pPr>
    <w:r>
      <w:rPr>
        <w:noProof/>
      </w:rPr>
      <mc:AlternateContent>
        <mc:Choice Requires="wps">
          <w:drawing>
            <wp:anchor distT="0" distB="0" distL="0" distR="0" simplePos="0" relativeHeight="251658243" behindDoc="0" locked="0" layoutInCell="1" allowOverlap="1" wp14:anchorId="7DD7CB36" wp14:editId="315E5DBD">
              <wp:simplePos x="635" y="635"/>
              <wp:positionH relativeFrom="page">
                <wp:align>center</wp:align>
              </wp:positionH>
              <wp:positionV relativeFrom="page">
                <wp:align>bottom</wp:align>
              </wp:positionV>
              <wp:extent cx="295910" cy="307975"/>
              <wp:effectExtent l="0" t="0" r="8890" b="0"/>
              <wp:wrapNone/>
              <wp:docPr id="590404948" name="Text Box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5344324" w14:textId="61008E59"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D7CB36" id="_x0000_t202" coordsize="21600,21600" o:spt="202" path="m,l,21600r21600,l21600,xe">
              <v:stroke joinstyle="miter"/>
              <v:path gradientshapeok="t" o:connecttype="rect"/>
            </v:shapetype>
            <v:shape id="Text Box 13" o:spid="_x0000_s1033" type="#_x0000_t202" alt="PUBLIC" style="position:absolute;margin-left:0;margin-top:0;width:23.3pt;height:24.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OK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VH7vfQXWioRCGfXsnNw2VfhA+PAukBVO3JNrw&#10;RIc20JUczhZnNeCPv/ljPvFOUc46EkzJLSmaM/PN0j6itkYDR2OXjOkin+cUt4f2DkiGU3oRTiaT&#10;vBjMaGqE9pXkvI6FKCSspHIl343mXRiUS89BqvU6JZGMnAgPdutkhI50RS5f+leB7kx4oE09wqgm&#10;UbzhfciNN71bHwKxn5YSqR2IPDNOEkxrPT+XqPFf/1PW9VGvfgI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LgF44o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25344324" w14:textId="61008E59"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C0C2B" w14:textId="6BC05F7C" w:rsidR="006B7424" w:rsidRPr="003816C4" w:rsidRDefault="00FD0541" w:rsidP="00431575">
    <w:pPr>
      <w:pStyle w:val="Footerright"/>
      <w:framePr w:wrap="around" w:vAnchor="text" w:y="1"/>
      <w:spacing w:before="180"/>
    </w:pPr>
    <w:r>
      <w:rPr>
        <w:noProof/>
      </w:rPr>
      <mc:AlternateContent>
        <mc:Choice Requires="wps">
          <w:drawing>
            <wp:anchor distT="0" distB="0" distL="0" distR="0" simplePos="0" relativeHeight="251658246" behindDoc="0" locked="0" layoutInCell="1" allowOverlap="1" wp14:anchorId="6569831C" wp14:editId="77C58CCC">
              <wp:simplePos x="6911975" y="7110730"/>
              <wp:positionH relativeFrom="page">
                <wp:align>center</wp:align>
              </wp:positionH>
              <wp:positionV relativeFrom="page">
                <wp:align>bottom</wp:align>
              </wp:positionV>
              <wp:extent cx="295910" cy="307975"/>
              <wp:effectExtent l="0" t="0" r="8890" b="0"/>
              <wp:wrapNone/>
              <wp:docPr id="352620893" name="Text Box 1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98D8A88" w14:textId="66083B60"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9831C" id="_x0000_t202" coordsize="21600,21600" o:spt="202" path="m,l,21600r21600,l21600,xe">
              <v:stroke joinstyle="miter"/>
              <v:path gradientshapeok="t" o:connecttype="rect"/>
            </v:shapetype>
            <v:shape id="Text Box 17" o:spid="_x0000_s1034" type="#_x0000_t202" alt="PUBLIC" style="position:absolute;left:0;text-align:left;margin-left:0;margin-top:0;width:23.3pt;height:24.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DgIAABw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euSLsbuK6jPOJSDYd/e8m2LpXfMh2fmcMHYLYo2&#10;POEhFXQlhYtFSQPux9/8MR95xyglHQqmpAYVTYn6ZnAfUVuj4UajSsZ0mc9zjJujvgeU4RRfhOXJ&#10;RK8LajSlA/2Kct7EQhhihmO5klajeR8G5eJz4GKzSUkoI8vCzuwtj9CRrsjlS//KnL0QHnBTjzCq&#10;iRVveB9y401vN8eA7KelRGoHIi+MowTTWi/PJWr81/+UdXvU65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Cl8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198D8A88" w14:textId="66083B60"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STYLEREF  &quot;Heading 1&quot;  \* MERGEFORMAT">
      <w:r w:rsidR="00CA15B0">
        <w:rPr>
          <w:noProof/>
        </w:rPr>
        <w:t>Groundwater</w:t>
      </w:r>
    </w:fldSimple>
    <w:r w:rsidR="006B7424" w:rsidRPr="003816C4">
      <w:t xml:space="preserve"> | </w:t>
    </w:r>
    <w:r w:rsidR="006B7424" w:rsidRPr="003816C4">
      <w:fldChar w:fldCharType="begin"/>
    </w:r>
    <w:r w:rsidR="006B7424" w:rsidRPr="003816C4">
      <w:instrText xml:space="preserve"> PAGE   \* MERGEFORMAT </w:instrText>
    </w:r>
    <w:r w:rsidR="006B7424" w:rsidRPr="003816C4">
      <w:fldChar w:fldCharType="separate"/>
    </w:r>
    <w:r w:rsidR="006B7424" w:rsidRPr="003816C4">
      <w:t>5</w:t>
    </w:r>
    <w:r w:rsidR="006B7424" w:rsidRPr="003816C4">
      <w:fldChar w:fldCharType="end"/>
    </w:r>
  </w:p>
  <w:p w14:paraId="3EABC6DB" w14:textId="77777777" w:rsidR="006B7424" w:rsidRPr="003816C4" w:rsidRDefault="006B7424" w:rsidP="0092463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55F31" w14:textId="515A438F" w:rsidR="00FD0541" w:rsidRDefault="00FD0541">
    <w:pPr>
      <w:pStyle w:val="Footer"/>
    </w:pPr>
    <w:r>
      <w:rPr>
        <w:noProof/>
      </w:rPr>
      <mc:AlternateContent>
        <mc:Choice Requires="wps">
          <w:drawing>
            <wp:anchor distT="0" distB="0" distL="0" distR="0" simplePos="0" relativeHeight="251658253" behindDoc="0" locked="0" layoutInCell="1" allowOverlap="1" wp14:anchorId="0EDEA8D5" wp14:editId="523A9358">
              <wp:simplePos x="635" y="635"/>
              <wp:positionH relativeFrom="page">
                <wp:align>center</wp:align>
              </wp:positionH>
              <wp:positionV relativeFrom="page">
                <wp:align>bottom</wp:align>
              </wp:positionV>
              <wp:extent cx="295910" cy="307975"/>
              <wp:effectExtent l="0" t="0" r="8890" b="0"/>
              <wp:wrapNone/>
              <wp:docPr id="542816233" name="Text Box 1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F0420B8" w14:textId="7C67F30E"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DEA8D5" id="_x0000_t202" coordsize="21600,21600" o:spt="202" path="m,l,21600r21600,l21600,xe">
              <v:stroke joinstyle="miter"/>
              <v:path gradientshapeok="t" o:connecttype="rect"/>
            </v:shapetype>
            <v:shape id="Text Box 18" o:spid="_x0000_s1035" type="#_x0000_t202" alt="PUBLIC" style="position:absolute;margin-left:0;margin-top:0;width:23.3pt;height:24.2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D6DgIAABw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YlvR2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OdD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1F0420B8" w14:textId="7C67F30E"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C17B" w14:textId="03399FD2" w:rsidR="00FD0541" w:rsidRDefault="00FD0541">
    <w:pPr>
      <w:pStyle w:val="Footer"/>
    </w:pPr>
    <w:r>
      <w:rPr>
        <w:noProof/>
      </w:rPr>
      <mc:AlternateContent>
        <mc:Choice Requires="wps">
          <w:drawing>
            <wp:anchor distT="0" distB="0" distL="0" distR="0" simplePos="0" relativeHeight="251658254" behindDoc="0" locked="0" layoutInCell="1" allowOverlap="1" wp14:anchorId="54B4EDF1" wp14:editId="2B1F5C78">
              <wp:simplePos x="635" y="635"/>
              <wp:positionH relativeFrom="page">
                <wp:align>center</wp:align>
              </wp:positionH>
              <wp:positionV relativeFrom="page">
                <wp:align>bottom</wp:align>
              </wp:positionV>
              <wp:extent cx="295910" cy="307975"/>
              <wp:effectExtent l="0" t="0" r="8890" b="0"/>
              <wp:wrapNone/>
              <wp:docPr id="1776525623" name="Text Box 1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2F60B7F" w14:textId="2423D417"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B4EDF1" id="_x0000_t202" coordsize="21600,21600" o:spt="202" path="m,l,21600r21600,l21600,xe">
              <v:stroke joinstyle="miter"/>
              <v:path gradientshapeok="t" o:connecttype="rect"/>
            </v:shapetype>
            <v:shape id="Text Box 16" o:spid="_x0000_s1036" type="#_x0000_t202" alt="PUBLIC" style="position:absolute;margin-left:0;margin-top:0;width:23.3pt;height:24.2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tBDgIAABw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YlvRm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hR5tB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32F60B7F" w14:textId="2423D417" w:rsidR="00FD0541" w:rsidRPr="00FD0541" w:rsidRDefault="00FD0541" w:rsidP="00FD0541">
                    <w:pPr>
                      <w:spacing w:after="0"/>
                      <w:rPr>
                        <w:rFonts w:ascii="Century Gothic" w:eastAsia="Century Gothic" w:hAnsi="Century Gothic" w:cs="Century Gothic"/>
                        <w:noProof/>
                        <w:color w:val="7F7F7F"/>
                        <w:sz w:val="14"/>
                        <w:szCs w:val="14"/>
                      </w:rPr>
                    </w:pPr>
                    <w:r w:rsidRPr="00FD0541">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E87E1" w14:textId="77777777" w:rsidR="00C34F19" w:rsidRPr="003816C4" w:rsidRDefault="00C34F19" w:rsidP="00CC6183">
      <w:r w:rsidRPr="003816C4">
        <w:separator/>
      </w:r>
    </w:p>
  </w:footnote>
  <w:footnote w:type="continuationSeparator" w:id="0">
    <w:p w14:paraId="7E7079B7" w14:textId="77777777" w:rsidR="00C34F19" w:rsidRPr="003816C4" w:rsidRDefault="00C34F19" w:rsidP="00CC6183">
      <w:r w:rsidRPr="003816C4">
        <w:continuationSeparator/>
      </w:r>
    </w:p>
  </w:footnote>
  <w:footnote w:type="continuationNotice" w:id="1">
    <w:p w14:paraId="1111D66C" w14:textId="77777777" w:rsidR="00C34F19" w:rsidRPr="003816C4" w:rsidRDefault="00C34F19">
      <w:pPr>
        <w:spacing w:after="0" w:line="240" w:lineRule="auto"/>
      </w:pPr>
    </w:p>
  </w:footnote>
  <w:footnote w:id="2">
    <w:p w14:paraId="531A148A" w14:textId="105CC29F" w:rsidR="000C1B98" w:rsidRPr="003816C4" w:rsidRDefault="000C1B98" w:rsidP="00AF7374">
      <w:pPr>
        <w:pStyle w:val="TableText"/>
      </w:pPr>
      <w:r w:rsidRPr="003816C4">
        <w:rPr>
          <w:rStyle w:val="FootnoteReference"/>
        </w:rPr>
        <w:footnoteRef/>
      </w:r>
      <w:r w:rsidRPr="003816C4">
        <w:t xml:space="preserve"> </w:t>
      </w:r>
      <w:r w:rsidR="00675CF2" w:rsidRPr="003816C4">
        <w:t>S</w:t>
      </w:r>
      <w:r w:rsidR="00CD3834" w:rsidRPr="003816C4">
        <w:t xml:space="preserve">alinity </w:t>
      </w:r>
      <w:r w:rsidR="00675CF2" w:rsidRPr="003816C4">
        <w:t xml:space="preserve">influences the suitability of groundwater for </w:t>
      </w:r>
      <w:r w:rsidR="00F65E6D" w:rsidRPr="003816C4">
        <w:t xml:space="preserve">various </w:t>
      </w:r>
      <w:r w:rsidR="00675CF2" w:rsidRPr="003816C4">
        <w:t>uses</w:t>
      </w:r>
      <w:r w:rsidR="00F65E6D" w:rsidRPr="003816C4">
        <w:t>, and can impact related environmental values</w:t>
      </w:r>
    </w:p>
  </w:footnote>
  <w:footnote w:id="3">
    <w:p w14:paraId="480164EE" w14:textId="63A3AD86" w:rsidR="00BA4D81" w:rsidRPr="003816C4" w:rsidRDefault="00BA4D81" w:rsidP="00AF7374">
      <w:pPr>
        <w:pStyle w:val="TableText"/>
      </w:pPr>
      <w:r w:rsidRPr="003816C4">
        <w:rPr>
          <w:rStyle w:val="FootnoteReference"/>
        </w:rPr>
        <w:footnoteRef/>
      </w:r>
      <w:r w:rsidRPr="003816C4">
        <w:t xml:space="preserve"> Desirable potable water supply means groundwater with a TDS between 0 and 600mg/L</w:t>
      </w:r>
      <w:r w:rsidR="00FA1342" w:rsidRPr="003816C4">
        <w:t xml:space="preserve"> </w:t>
      </w:r>
    </w:p>
  </w:footnote>
  <w:footnote w:id="4">
    <w:p w14:paraId="2431173D" w14:textId="09235838" w:rsidR="00242797" w:rsidRPr="003816C4" w:rsidRDefault="00242797" w:rsidP="00AF7374">
      <w:pPr>
        <w:pStyle w:val="TableText"/>
      </w:pPr>
      <w:r w:rsidRPr="003816C4">
        <w:rPr>
          <w:rStyle w:val="FootnoteReference"/>
        </w:rPr>
        <w:footnoteRef/>
      </w:r>
      <w:r w:rsidRPr="003816C4">
        <w:t xml:space="preserve"> Acceptable potable water supply means groundwater with a TDS between 601 and 1200mg/L</w:t>
      </w:r>
    </w:p>
  </w:footnote>
  <w:footnote w:id="5">
    <w:p w14:paraId="267FEA16" w14:textId="77777777" w:rsidR="000C22FD" w:rsidRPr="003816C4" w:rsidRDefault="000C22FD" w:rsidP="000059BF">
      <w:pPr>
        <w:pStyle w:val="TableText"/>
      </w:pPr>
      <w:r w:rsidRPr="003816C4">
        <w:rPr>
          <w:rStyle w:val="FootnoteReference"/>
        </w:rPr>
        <w:footnoteRef/>
      </w:r>
      <w:r w:rsidRPr="003816C4">
        <w:t xml:space="preserve"> Richardson, S., et al., (2011). Australian groundwater-dependent ecosystem toolbox part 1: assessment framework, Waterlines report, National Water Commission, Canberra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73AA9" w14:textId="76E54B9A" w:rsidR="0063022F" w:rsidRPr="003816C4" w:rsidRDefault="00DD2CAE">
    <w:pPr>
      <w:pStyle w:val="Header"/>
    </w:pPr>
    <w:r w:rsidRPr="00AC5C5C">
      <w:rPr>
        <w:noProof/>
      </w:rPr>
      <mc:AlternateContent>
        <mc:Choice Requires="wpg">
          <w:drawing>
            <wp:anchor distT="0" distB="0" distL="114300" distR="114300" simplePos="0" relativeHeight="251658240" behindDoc="1" locked="1" layoutInCell="1" allowOverlap="1" wp14:anchorId="14ADC238" wp14:editId="6900A0E1">
              <wp:simplePos x="0" y="0"/>
              <wp:positionH relativeFrom="page">
                <wp:align>left</wp:align>
              </wp:positionH>
              <wp:positionV relativeFrom="page">
                <wp:align>top</wp:align>
              </wp:positionV>
              <wp:extent cx="7290000" cy="9972000"/>
              <wp:effectExtent l="0" t="0" r="6350" b="0"/>
              <wp:wrapNone/>
              <wp:docPr id="26" name="Group 6"/>
              <wp:cNvGraphicFramePr/>
              <a:graphic xmlns:a="http://schemas.openxmlformats.org/drawingml/2006/main">
                <a:graphicData uri="http://schemas.microsoft.com/office/word/2010/wordprocessingGroup">
                  <wpg:wgp>
                    <wpg:cNvGrpSpPr/>
                    <wpg:grpSpPr>
                      <a:xfrm>
                        <a:off x="0" y="0"/>
                        <a:ext cx="7290000" cy="9972000"/>
                        <a:chOff x="0" y="0"/>
                        <a:chExt cx="7290000" cy="9971965"/>
                      </a:xfrm>
                    </wpg:grpSpPr>
                    <wps:wsp>
                      <wps:cNvPr id="27" name="Graphic 2"/>
                      <wps:cNvSpPr>
                        <a:spLocks noChangeAspect="1"/>
                      </wps:cNvSpPr>
                      <wps:spPr>
                        <a:xfrm>
                          <a:off x="270000" y="270000"/>
                          <a:ext cx="7020000" cy="9701965"/>
                        </a:xfrm>
                        <a:custGeom>
                          <a:avLst/>
                          <a:gdLst>
                            <a:gd name="connsiteX0" fmla="*/ 0 w 5265039"/>
                            <a:gd name="connsiteY0" fmla="*/ 0 h 7276528"/>
                            <a:gd name="connsiteX1" fmla="*/ 5265039 w 5265039"/>
                            <a:gd name="connsiteY1" fmla="*/ 0 h 7276528"/>
                            <a:gd name="connsiteX2" fmla="*/ 5265039 w 5265039"/>
                            <a:gd name="connsiteY2" fmla="*/ 7276529 h 7276528"/>
                            <a:gd name="connsiteX3" fmla="*/ 0 w 5265039"/>
                            <a:gd name="connsiteY3" fmla="*/ 7276529 h 7276528"/>
                          </a:gdLst>
                          <a:ahLst/>
                          <a:cxnLst>
                            <a:cxn ang="0">
                              <a:pos x="connsiteX0" y="connsiteY0"/>
                            </a:cxn>
                            <a:cxn ang="0">
                              <a:pos x="connsiteX1" y="connsiteY1"/>
                            </a:cxn>
                            <a:cxn ang="0">
                              <a:pos x="connsiteX2" y="connsiteY2"/>
                            </a:cxn>
                            <a:cxn ang="0">
                              <a:pos x="connsiteX3" y="connsiteY3"/>
                            </a:cxn>
                          </a:cxnLst>
                          <a:rect l="l" t="t" r="r" b="b"/>
                          <a:pathLst>
                            <a:path w="5265039" h="7276528">
                              <a:moveTo>
                                <a:pt x="0" y="0"/>
                              </a:moveTo>
                              <a:lnTo>
                                <a:pt x="5265039" y="0"/>
                              </a:lnTo>
                              <a:lnTo>
                                <a:pt x="5265039" y="7276529"/>
                              </a:lnTo>
                              <a:lnTo>
                                <a:pt x="0" y="7276529"/>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0"/>
                          <a:ext cx="269675" cy="27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4265D0D" id="Group 6" o:spid="_x0000_s1026" style="position:absolute;margin-left:0;margin-top:0;width:574pt;height:785.2pt;z-index:-251658240;mso-position-horizontal:left;mso-position-horizontal-relative:page;mso-position-vertical:top;mso-position-vertical-relative:page;mso-width-relative:margin;mso-height-relative:margin" coordsize="72900,9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">
              <v:shape id="Graphic 2" o:spid="_x0000_s1027" style="position:absolute;left:2700;top:2700;width:70200;height:97019;visibility:visible;mso-wrap-style:square;v-text-anchor:middle" coordsize="5265039,727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" path="m,l5265039,r,7276529l,7276529,,xe" fillcolor="#2c4ba0 [3204]" stroked="f">
                <v:stroke joinstyle="miter"/>
                <v:path arrowok="t" o:connecttype="custom" o:connectlocs="0,0;7020000,0;7020000,9701966;0,9701966" o:connectangles="0,0,0,0"/>
                <o:lock v:ext="edit" aspectratio="t"/>
              </v:shape>
              <v:rect id="Rectangle 28" o:spid="_x0000_s1028" style="position:absolute;width:269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w10:wrap anchorx="page"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C13E4" w14:textId="39C2A0C3" w:rsidR="006427AC" w:rsidRPr="003816C4" w:rsidRDefault="006427A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064A0" w14:textId="30BFAFCA" w:rsidR="00657E56" w:rsidRPr="003816C4" w:rsidRDefault="00657E5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22093" w14:textId="217B555A" w:rsidR="00657E56" w:rsidRPr="003816C4" w:rsidRDefault="00657E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A130A" w14:textId="13861EF6" w:rsidR="00657E56" w:rsidRPr="003816C4" w:rsidRDefault="00657E5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40B2F" w14:textId="7A9E2EEE" w:rsidR="00657E56" w:rsidRPr="003816C4" w:rsidRDefault="00657E5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FE775" w14:textId="1335A04E" w:rsidR="00657E56" w:rsidRPr="003816C4" w:rsidRDefault="00657E5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61029" w14:textId="0B5396C6" w:rsidR="00657E56" w:rsidRPr="003816C4" w:rsidRDefault="00657E5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287B2" w14:textId="1B5E7EDD" w:rsidR="00657E56" w:rsidRPr="003816C4" w:rsidRDefault="00657E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44C3" w14:textId="55924CDA" w:rsidR="0029388F" w:rsidRPr="003816C4" w:rsidRDefault="009928BD">
    <w:pPr>
      <w:pStyle w:val="Header"/>
    </w:pPr>
    <w:r w:rsidRPr="003816C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B50F" w14:textId="79C9BA69" w:rsidR="00DD2CAE" w:rsidRPr="003816C4" w:rsidRDefault="00DD2C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02C3" w14:textId="4B013CE3" w:rsidR="00DD2CAE" w:rsidRPr="003816C4" w:rsidRDefault="00DD2C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6CD95" w14:textId="3A841FEE" w:rsidR="00657E56" w:rsidRPr="003816C4" w:rsidRDefault="00657E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66FD0" w14:textId="040924F9" w:rsidR="00657E56" w:rsidRPr="003816C4" w:rsidRDefault="00657E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DEB1A" w14:textId="6DDC1FDF" w:rsidR="00657E56" w:rsidRPr="003816C4" w:rsidRDefault="00657E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45DAE" w14:textId="0989BC4A" w:rsidR="00657E56" w:rsidRPr="003816C4" w:rsidRDefault="00657E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95463" w14:textId="44C7A2F0" w:rsidR="00657E56" w:rsidRPr="003816C4" w:rsidRDefault="00657E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60D29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7083033" o:spid="_x0000_i1025" type="#_x0000_t75" style="width:311.25pt;height:311.25pt;visibility:visible;mso-wrap-style:square">
            <v:imagedata r:id="rId1" o:title=""/>
          </v:shape>
        </w:pict>
      </mc:Choice>
      <mc:Fallback>
        <w:drawing>
          <wp:inline distT="0" distB="0" distL="0" distR="0" wp14:anchorId="375F86DF" wp14:editId="375F86E0">
            <wp:extent cx="3952875" cy="3952875"/>
            <wp:effectExtent l="0" t="0" r="0" b="0"/>
            <wp:docPr id="967083033" name="Picture 96708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8662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mc:Fallback>
    </mc:AlternateContent>
  </w:numPicBullet>
  <w:abstractNum w:abstractNumId="0" w15:restartNumberingAfterBreak="0">
    <w:nsid w:val="FFFFFF80"/>
    <w:multiLevelType w:val="singleLevel"/>
    <w:tmpl w:val="633C4F7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D082CB7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982FC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246CAE"/>
    <w:multiLevelType w:val="multilevel"/>
    <w:tmpl w:val="E1BA3042"/>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1BC3765"/>
    <w:multiLevelType w:val="hybridMultilevel"/>
    <w:tmpl w:val="2A5C921E"/>
    <w:lvl w:ilvl="0" w:tplc="25B4C1D8">
      <w:start w:val="1"/>
      <w:numFmt w:val="lowerLetter"/>
      <w:pStyle w:val="Tablenumbers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 w15:restartNumberingAfterBreak="0">
    <w:nsid w:val="023555D1"/>
    <w:multiLevelType w:val="multilevel"/>
    <w:tmpl w:val="48242180"/>
    <w:lvl w:ilvl="0">
      <w:start w:val="24"/>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pStyle w:val="CaptionImages"/>
      <w:isLgl/>
      <w:lvlText w:val="Figure %1-%4:"/>
      <w:lvlJc w:val="left"/>
      <w:pPr>
        <w:ind w:left="1134" w:hanging="1134"/>
      </w:pPr>
      <w:rPr>
        <w:rFonts w:hint="default"/>
        <w:color w:val="2C4BA0" w:themeColor="accent1"/>
      </w:rPr>
    </w:lvl>
    <w:lvl w:ilvl="4">
      <w:start w:val="1"/>
      <w:numFmt w:val="decimal"/>
      <w:lvlRestart w:val="0"/>
      <w:pStyle w:val="CaptionTables"/>
      <w:isLgl/>
      <w:lvlText w:val="Table %1-%5:"/>
      <w:lvlJc w:val="left"/>
      <w:pPr>
        <w:ind w:left="4111" w:hanging="1134"/>
      </w:pPr>
      <w:rPr>
        <w:rFonts w:hint="default"/>
        <w:color w:val="2C4BA0" w:themeColor="accent1"/>
      </w:rPr>
    </w:lvl>
    <w:lvl w:ilvl="5">
      <w:start w:val="1"/>
      <w:numFmt w:val="decimal"/>
      <w:pStyle w:val="Heading4"/>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36F6424"/>
    <w:multiLevelType w:val="multilevel"/>
    <w:tmpl w:val="0A384DEA"/>
    <w:numStyleLink w:val="ListHeadings"/>
  </w:abstractNum>
  <w:abstractNum w:abstractNumId="7" w15:restartNumberingAfterBreak="0">
    <w:nsid w:val="03B571D0"/>
    <w:multiLevelType w:val="hybridMultilevel"/>
    <w:tmpl w:val="02F6ECFC"/>
    <w:lvl w:ilvl="0" w:tplc="FFFFFFFF">
      <w:start w:val="1"/>
      <w:numFmt w:val="decimal"/>
      <w:lvlText w:val="%1)"/>
      <w:lvlJc w:val="left"/>
      <w:pPr>
        <w:ind w:left="360" w:hanging="360"/>
      </w:pPr>
    </w:lvl>
    <w:lvl w:ilvl="1" w:tplc="366AC7E6">
      <w:start w:val="1"/>
      <w:numFmt w:val="lowerRoman"/>
      <w:lvlText w:val="%2."/>
      <w:lvlJc w:val="left"/>
      <w:pPr>
        <w:ind w:left="1080" w:hanging="360"/>
      </w:pPr>
      <w:rPr>
        <w:rFonts w:hint="default"/>
        <w:sz w:val="16"/>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4C95399"/>
    <w:multiLevelType w:val="multilevel"/>
    <w:tmpl w:val="EEE8BB58"/>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9" w15:restartNumberingAfterBreak="0">
    <w:nsid w:val="0600707E"/>
    <w:multiLevelType w:val="hybridMultilevel"/>
    <w:tmpl w:val="CA14074A"/>
    <w:lvl w:ilvl="0" w:tplc="A72E0834">
      <w:start w:val="1"/>
      <w:numFmt w:val="bullet"/>
      <w:lvlText w:val=""/>
      <w:lvlJc w:val="left"/>
      <w:pPr>
        <w:ind w:left="720" w:hanging="360"/>
      </w:pPr>
      <w:rPr>
        <w:rFonts w:ascii="Symbol" w:hAnsi="Symbol" w:hint="default"/>
        <w:color w:val="2C4BA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447BEA"/>
    <w:multiLevelType w:val="multilevel"/>
    <w:tmpl w:val="53E83BB0"/>
    <w:lvl w:ilvl="0">
      <w:start w:val="1"/>
      <w:numFmt w:val="lowerLetter"/>
      <w:lvlText w:val="%1."/>
      <w:lvlJc w:val="left"/>
      <w:pPr>
        <w:ind w:left="566" w:hanging="283"/>
      </w:pPr>
      <w:rPr>
        <w:rFonts w:hint="default"/>
      </w:rPr>
    </w:lvl>
    <w:lvl w:ilvl="1">
      <w:start w:val="1"/>
      <w:numFmt w:val="none"/>
      <w:lvlText w:val=""/>
      <w:lvlJc w:val="left"/>
      <w:pPr>
        <w:ind w:left="567" w:hanging="284"/>
      </w:pPr>
      <w:rPr>
        <w:rFonts w:hint="default"/>
      </w:rPr>
    </w:lvl>
    <w:lvl w:ilvl="2">
      <w:start w:val="1"/>
      <w:numFmt w:val="none"/>
      <w:lvlRestart w:val="1"/>
      <w:lvlText w:val=""/>
      <w:lvlJc w:val="left"/>
      <w:pPr>
        <w:ind w:left="567" w:hanging="284"/>
      </w:pPr>
      <w:rPr>
        <w:rFonts w:hint="default"/>
      </w:rPr>
    </w:lvl>
    <w:lvl w:ilvl="3">
      <w:start w:val="1"/>
      <w:numFmt w:val="none"/>
      <w:lvlRestart w:val="1"/>
      <w:lvlText w:val=""/>
      <w:lvlJc w:val="left"/>
      <w:pPr>
        <w:ind w:left="567" w:hanging="284"/>
      </w:pPr>
      <w:rPr>
        <w:rFonts w:hint="default"/>
      </w:rPr>
    </w:lvl>
    <w:lvl w:ilvl="4">
      <w:start w:val="1"/>
      <w:numFmt w:val="none"/>
      <w:lvlRestart w:val="1"/>
      <w:lvlText w:val=""/>
      <w:lvlJc w:val="left"/>
      <w:pPr>
        <w:ind w:left="567" w:hanging="284"/>
      </w:pPr>
      <w:rPr>
        <w:rFonts w:hint="default"/>
      </w:rPr>
    </w:lvl>
    <w:lvl w:ilvl="5">
      <w:start w:val="1"/>
      <w:numFmt w:val="none"/>
      <w:lvlRestart w:val="1"/>
      <w:lvlText w:val=""/>
      <w:lvlJc w:val="left"/>
      <w:pPr>
        <w:ind w:left="567" w:hanging="284"/>
      </w:pPr>
      <w:rPr>
        <w:rFonts w:hint="default"/>
      </w:rPr>
    </w:lvl>
    <w:lvl w:ilvl="6">
      <w:start w:val="1"/>
      <w:numFmt w:val="none"/>
      <w:lvlRestart w:val="1"/>
      <w:lvlText w:val=""/>
      <w:lvlJc w:val="left"/>
      <w:pPr>
        <w:ind w:left="567" w:hanging="284"/>
      </w:pPr>
      <w:rPr>
        <w:rFonts w:hint="default"/>
      </w:rPr>
    </w:lvl>
    <w:lvl w:ilvl="7">
      <w:start w:val="1"/>
      <w:numFmt w:val="none"/>
      <w:lvlRestart w:val="1"/>
      <w:lvlText w:val=""/>
      <w:lvlJc w:val="left"/>
      <w:pPr>
        <w:ind w:left="567" w:hanging="284"/>
      </w:pPr>
      <w:rPr>
        <w:rFonts w:hint="default"/>
      </w:rPr>
    </w:lvl>
    <w:lvl w:ilvl="8">
      <w:start w:val="1"/>
      <w:numFmt w:val="none"/>
      <w:lvlRestart w:val="1"/>
      <w:lvlText w:val=""/>
      <w:lvlJc w:val="left"/>
      <w:pPr>
        <w:ind w:left="567" w:hanging="284"/>
      </w:pPr>
      <w:rPr>
        <w:rFonts w:hint="default"/>
      </w:rPr>
    </w:lvl>
  </w:abstractNum>
  <w:abstractNum w:abstractNumId="11" w15:restartNumberingAfterBreak="0">
    <w:nsid w:val="0756176D"/>
    <w:multiLevelType w:val="multilevel"/>
    <w:tmpl w:val="BA10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D843D4"/>
    <w:multiLevelType w:val="hybridMultilevel"/>
    <w:tmpl w:val="F1BC4E8A"/>
    <w:lvl w:ilvl="0" w:tplc="5A280E76">
      <w:start w:val="1"/>
      <w:numFmt w:val="lowerRoman"/>
      <w:pStyle w:val="Tablenumbers3"/>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0AC2735F"/>
    <w:multiLevelType w:val="multilevel"/>
    <w:tmpl w:val="0A384DEA"/>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AEF2D64"/>
    <w:multiLevelType w:val="multilevel"/>
    <w:tmpl w:val="6EF4EF86"/>
    <w:styleLink w:val="JacobsSmallTableNumberedList1"/>
    <w:lvl w:ilvl="0">
      <w:start w:val="1"/>
      <w:numFmt w:val="decimal"/>
      <w:pStyle w:val="Tablesmallnumber"/>
      <w:lvlText w:val="%1)"/>
      <w:lvlJc w:val="left"/>
      <w:pPr>
        <w:ind w:left="283" w:hanging="283"/>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15" w15:restartNumberingAfterBreak="0">
    <w:nsid w:val="0E1032E8"/>
    <w:multiLevelType w:val="multilevel"/>
    <w:tmpl w:val="0A384DEA"/>
    <w:numStyleLink w:val="ListHeadings"/>
  </w:abstractNum>
  <w:abstractNum w:abstractNumId="16"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49B38D1"/>
    <w:multiLevelType w:val="multilevel"/>
    <w:tmpl w:val="6CCEA0F2"/>
    <w:styleLink w:val="JacobsSmallTableNumberedList2"/>
    <w:lvl w:ilvl="0">
      <w:start w:val="1"/>
      <w:numFmt w:val="lowerLetter"/>
      <w:pStyle w:val="Tablesmallletter"/>
      <w:lvlText w:val="%1)"/>
      <w:lvlJc w:val="left"/>
      <w:pPr>
        <w:ind w:left="566" w:hanging="283"/>
      </w:pPr>
      <w:rPr>
        <w:rFonts w:hint="default"/>
      </w:rPr>
    </w:lvl>
    <w:lvl w:ilvl="1">
      <w:start w:val="1"/>
      <w:numFmt w:val="none"/>
      <w:lvlText w:val=""/>
      <w:lvlJc w:val="left"/>
      <w:pPr>
        <w:ind w:left="567" w:hanging="284"/>
      </w:pPr>
      <w:rPr>
        <w:rFonts w:hint="default"/>
      </w:rPr>
    </w:lvl>
    <w:lvl w:ilvl="2">
      <w:start w:val="1"/>
      <w:numFmt w:val="none"/>
      <w:lvlRestart w:val="1"/>
      <w:lvlText w:val=""/>
      <w:lvlJc w:val="left"/>
      <w:pPr>
        <w:ind w:left="567" w:hanging="284"/>
      </w:pPr>
      <w:rPr>
        <w:rFonts w:hint="default"/>
      </w:rPr>
    </w:lvl>
    <w:lvl w:ilvl="3">
      <w:start w:val="1"/>
      <w:numFmt w:val="none"/>
      <w:lvlRestart w:val="1"/>
      <w:lvlText w:val=""/>
      <w:lvlJc w:val="left"/>
      <w:pPr>
        <w:ind w:left="567" w:hanging="284"/>
      </w:pPr>
      <w:rPr>
        <w:rFonts w:hint="default"/>
      </w:rPr>
    </w:lvl>
    <w:lvl w:ilvl="4">
      <w:start w:val="1"/>
      <w:numFmt w:val="none"/>
      <w:lvlRestart w:val="1"/>
      <w:lvlText w:val=""/>
      <w:lvlJc w:val="left"/>
      <w:pPr>
        <w:ind w:left="567" w:hanging="284"/>
      </w:pPr>
      <w:rPr>
        <w:rFonts w:hint="default"/>
      </w:rPr>
    </w:lvl>
    <w:lvl w:ilvl="5">
      <w:start w:val="1"/>
      <w:numFmt w:val="none"/>
      <w:lvlRestart w:val="1"/>
      <w:lvlText w:val=""/>
      <w:lvlJc w:val="left"/>
      <w:pPr>
        <w:ind w:left="567" w:hanging="284"/>
      </w:pPr>
      <w:rPr>
        <w:rFonts w:hint="default"/>
      </w:rPr>
    </w:lvl>
    <w:lvl w:ilvl="6">
      <w:start w:val="1"/>
      <w:numFmt w:val="none"/>
      <w:lvlRestart w:val="1"/>
      <w:lvlText w:val=""/>
      <w:lvlJc w:val="left"/>
      <w:pPr>
        <w:ind w:left="567" w:hanging="284"/>
      </w:pPr>
      <w:rPr>
        <w:rFonts w:hint="default"/>
      </w:rPr>
    </w:lvl>
    <w:lvl w:ilvl="7">
      <w:start w:val="1"/>
      <w:numFmt w:val="none"/>
      <w:lvlRestart w:val="1"/>
      <w:lvlText w:val=""/>
      <w:lvlJc w:val="left"/>
      <w:pPr>
        <w:ind w:left="567" w:hanging="284"/>
      </w:pPr>
      <w:rPr>
        <w:rFonts w:hint="default"/>
      </w:rPr>
    </w:lvl>
    <w:lvl w:ilvl="8">
      <w:start w:val="1"/>
      <w:numFmt w:val="none"/>
      <w:lvlRestart w:val="1"/>
      <w:lvlText w:val=""/>
      <w:lvlJc w:val="left"/>
      <w:pPr>
        <w:ind w:left="567" w:hanging="284"/>
      </w:pPr>
      <w:rPr>
        <w:rFonts w:hint="default"/>
      </w:rPr>
    </w:lvl>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0BC1392"/>
    <w:multiLevelType w:val="multilevel"/>
    <w:tmpl w:val="AD006BE8"/>
    <w:numStyleLink w:val="Numbering"/>
  </w:abstractNum>
  <w:abstractNum w:abstractNumId="20" w15:restartNumberingAfterBreak="0">
    <w:nsid w:val="28FD3452"/>
    <w:multiLevelType w:val="multilevel"/>
    <w:tmpl w:val="53E83BB0"/>
    <w:lvl w:ilvl="0">
      <w:start w:val="1"/>
      <w:numFmt w:val="lowerLetter"/>
      <w:lvlText w:val="%1."/>
      <w:lvlJc w:val="left"/>
      <w:pPr>
        <w:ind w:left="566" w:hanging="283"/>
      </w:pPr>
      <w:rPr>
        <w:rFonts w:hint="default"/>
      </w:rPr>
    </w:lvl>
    <w:lvl w:ilvl="1">
      <w:start w:val="1"/>
      <w:numFmt w:val="none"/>
      <w:lvlText w:val=""/>
      <w:lvlJc w:val="left"/>
      <w:pPr>
        <w:ind w:left="567" w:hanging="284"/>
      </w:pPr>
      <w:rPr>
        <w:rFonts w:hint="default"/>
      </w:rPr>
    </w:lvl>
    <w:lvl w:ilvl="2">
      <w:start w:val="1"/>
      <w:numFmt w:val="none"/>
      <w:lvlRestart w:val="1"/>
      <w:lvlText w:val=""/>
      <w:lvlJc w:val="left"/>
      <w:pPr>
        <w:ind w:left="567" w:hanging="284"/>
      </w:pPr>
      <w:rPr>
        <w:rFonts w:hint="default"/>
      </w:rPr>
    </w:lvl>
    <w:lvl w:ilvl="3">
      <w:start w:val="1"/>
      <w:numFmt w:val="none"/>
      <w:lvlRestart w:val="1"/>
      <w:lvlText w:val=""/>
      <w:lvlJc w:val="left"/>
      <w:pPr>
        <w:ind w:left="567" w:hanging="284"/>
      </w:pPr>
      <w:rPr>
        <w:rFonts w:hint="default"/>
      </w:rPr>
    </w:lvl>
    <w:lvl w:ilvl="4">
      <w:start w:val="1"/>
      <w:numFmt w:val="none"/>
      <w:lvlRestart w:val="1"/>
      <w:lvlText w:val=""/>
      <w:lvlJc w:val="left"/>
      <w:pPr>
        <w:ind w:left="567" w:hanging="284"/>
      </w:pPr>
      <w:rPr>
        <w:rFonts w:hint="default"/>
      </w:rPr>
    </w:lvl>
    <w:lvl w:ilvl="5">
      <w:start w:val="1"/>
      <w:numFmt w:val="none"/>
      <w:lvlRestart w:val="1"/>
      <w:lvlText w:val=""/>
      <w:lvlJc w:val="left"/>
      <w:pPr>
        <w:ind w:left="567" w:hanging="284"/>
      </w:pPr>
      <w:rPr>
        <w:rFonts w:hint="default"/>
      </w:rPr>
    </w:lvl>
    <w:lvl w:ilvl="6">
      <w:start w:val="1"/>
      <w:numFmt w:val="none"/>
      <w:lvlRestart w:val="1"/>
      <w:lvlText w:val=""/>
      <w:lvlJc w:val="left"/>
      <w:pPr>
        <w:ind w:left="567" w:hanging="284"/>
      </w:pPr>
      <w:rPr>
        <w:rFonts w:hint="default"/>
      </w:rPr>
    </w:lvl>
    <w:lvl w:ilvl="7">
      <w:start w:val="1"/>
      <w:numFmt w:val="none"/>
      <w:lvlRestart w:val="1"/>
      <w:lvlText w:val=""/>
      <w:lvlJc w:val="left"/>
      <w:pPr>
        <w:ind w:left="567" w:hanging="284"/>
      </w:pPr>
      <w:rPr>
        <w:rFonts w:hint="default"/>
      </w:rPr>
    </w:lvl>
    <w:lvl w:ilvl="8">
      <w:start w:val="1"/>
      <w:numFmt w:val="none"/>
      <w:lvlRestart w:val="1"/>
      <w:lvlText w:val=""/>
      <w:lvlJc w:val="left"/>
      <w:pPr>
        <w:ind w:left="567" w:hanging="284"/>
      </w:pPr>
      <w:rPr>
        <w:rFonts w:hint="default"/>
      </w:rPr>
    </w:lvl>
  </w:abstractNum>
  <w:abstractNum w:abstractNumId="21" w15:restartNumberingAfterBreak="0">
    <w:nsid w:val="2AFC3193"/>
    <w:multiLevelType w:val="hybridMultilevel"/>
    <w:tmpl w:val="AC8AB024"/>
    <w:lvl w:ilvl="0" w:tplc="96D60054">
      <w:start w:val="1"/>
      <w:numFmt w:val="lowerLetter"/>
      <w:pStyle w:val="ContentBulletsLetter"/>
      <w:lvlText w:val="%1)"/>
      <w:lvlJc w:val="left"/>
      <w:pPr>
        <w:ind w:left="1418" w:hanging="851"/>
      </w:pPr>
      <w:rPr>
        <w:rFonts w:hint="default"/>
      </w:rPr>
    </w:lvl>
    <w:lvl w:ilvl="1" w:tplc="CEAEA6BE">
      <w:start w:val="1"/>
      <w:numFmt w:val="lowerLetter"/>
      <w:lvlText w:val="%2."/>
      <w:lvlJc w:val="left"/>
      <w:pPr>
        <w:ind w:left="1440" w:hanging="360"/>
      </w:pPr>
    </w:lvl>
    <w:lvl w:ilvl="2" w:tplc="726281C0" w:tentative="1">
      <w:start w:val="1"/>
      <w:numFmt w:val="lowerRoman"/>
      <w:lvlText w:val="%3."/>
      <w:lvlJc w:val="right"/>
      <w:pPr>
        <w:ind w:left="2160" w:hanging="180"/>
      </w:pPr>
    </w:lvl>
    <w:lvl w:ilvl="3" w:tplc="441EB3B4" w:tentative="1">
      <w:start w:val="1"/>
      <w:numFmt w:val="decimal"/>
      <w:lvlText w:val="%4."/>
      <w:lvlJc w:val="left"/>
      <w:pPr>
        <w:ind w:left="2880" w:hanging="360"/>
      </w:pPr>
    </w:lvl>
    <w:lvl w:ilvl="4" w:tplc="8E12C5A2" w:tentative="1">
      <w:start w:val="1"/>
      <w:numFmt w:val="lowerLetter"/>
      <w:lvlText w:val="%5."/>
      <w:lvlJc w:val="left"/>
      <w:pPr>
        <w:ind w:left="3600" w:hanging="360"/>
      </w:pPr>
    </w:lvl>
    <w:lvl w:ilvl="5" w:tplc="7FBE19C0" w:tentative="1">
      <w:start w:val="1"/>
      <w:numFmt w:val="lowerRoman"/>
      <w:lvlText w:val="%6."/>
      <w:lvlJc w:val="right"/>
      <w:pPr>
        <w:ind w:left="4320" w:hanging="180"/>
      </w:pPr>
    </w:lvl>
    <w:lvl w:ilvl="6" w:tplc="37948A54" w:tentative="1">
      <w:start w:val="1"/>
      <w:numFmt w:val="decimal"/>
      <w:lvlText w:val="%7."/>
      <w:lvlJc w:val="left"/>
      <w:pPr>
        <w:ind w:left="5040" w:hanging="360"/>
      </w:pPr>
    </w:lvl>
    <w:lvl w:ilvl="7" w:tplc="4E9C4C02" w:tentative="1">
      <w:start w:val="1"/>
      <w:numFmt w:val="lowerLetter"/>
      <w:lvlText w:val="%8."/>
      <w:lvlJc w:val="left"/>
      <w:pPr>
        <w:ind w:left="5760" w:hanging="360"/>
      </w:pPr>
    </w:lvl>
    <w:lvl w:ilvl="8" w:tplc="81DE9170" w:tentative="1">
      <w:start w:val="1"/>
      <w:numFmt w:val="lowerRoman"/>
      <w:lvlText w:val="%9."/>
      <w:lvlJc w:val="right"/>
      <w:pPr>
        <w:ind w:left="6480" w:hanging="180"/>
      </w:pPr>
    </w:lvl>
  </w:abstractNum>
  <w:abstractNum w:abstractNumId="22" w15:restartNumberingAfterBreak="0">
    <w:nsid w:val="2D177CE4"/>
    <w:multiLevelType w:val="multilevel"/>
    <w:tmpl w:val="30C2CC96"/>
    <w:numStyleLink w:val="TableNumbersBullets"/>
  </w:abstractNum>
  <w:abstractNum w:abstractNumId="23"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7A44FF9"/>
    <w:multiLevelType w:val="multilevel"/>
    <w:tmpl w:val="2842FAB0"/>
    <w:numStyleLink w:val="AppendixHeadings"/>
  </w:abstractNum>
  <w:abstractNum w:abstractNumId="25" w15:restartNumberingAfterBreak="0">
    <w:nsid w:val="3AD53A78"/>
    <w:multiLevelType w:val="hybridMultilevel"/>
    <w:tmpl w:val="5874E09A"/>
    <w:lvl w:ilvl="0" w:tplc="2C88A3FA">
      <w:start w:val="1"/>
      <w:numFmt w:val="decimal"/>
      <w:pStyle w:val="ContentBulletsNumber"/>
      <w:lvlText w:val="%1."/>
      <w:lvlJc w:val="left"/>
      <w:pPr>
        <w:ind w:left="1418" w:hanging="851"/>
      </w:pPr>
      <w:rPr>
        <w:rFonts w:ascii="Jacobs Chronos" w:hAnsi="Jacobs Chronos" w:cs="Jacobs Chronos" w:hint="default"/>
        <w:b w:val="0"/>
        <w:bCs w:val="0"/>
        <w:i w:val="0"/>
        <w:iCs w:val="0"/>
        <w:color w:val="auto"/>
        <w:sz w:val="20"/>
        <w:szCs w:val="20"/>
      </w:rPr>
    </w:lvl>
    <w:lvl w:ilvl="1" w:tplc="BC964152" w:tentative="1">
      <w:start w:val="1"/>
      <w:numFmt w:val="lowerLetter"/>
      <w:lvlText w:val="%2."/>
      <w:lvlJc w:val="left"/>
      <w:pPr>
        <w:ind w:left="1440" w:hanging="360"/>
      </w:pPr>
    </w:lvl>
    <w:lvl w:ilvl="2" w:tplc="4A923C9A" w:tentative="1">
      <w:start w:val="1"/>
      <w:numFmt w:val="lowerRoman"/>
      <w:lvlText w:val="%3."/>
      <w:lvlJc w:val="right"/>
      <w:pPr>
        <w:ind w:left="2160" w:hanging="180"/>
      </w:pPr>
    </w:lvl>
    <w:lvl w:ilvl="3" w:tplc="7226ADAE" w:tentative="1">
      <w:start w:val="1"/>
      <w:numFmt w:val="decimal"/>
      <w:lvlText w:val="%4."/>
      <w:lvlJc w:val="left"/>
      <w:pPr>
        <w:ind w:left="2880" w:hanging="360"/>
      </w:pPr>
    </w:lvl>
    <w:lvl w:ilvl="4" w:tplc="986AA23C" w:tentative="1">
      <w:start w:val="1"/>
      <w:numFmt w:val="lowerLetter"/>
      <w:lvlText w:val="%5."/>
      <w:lvlJc w:val="left"/>
      <w:pPr>
        <w:ind w:left="3600" w:hanging="360"/>
      </w:pPr>
    </w:lvl>
    <w:lvl w:ilvl="5" w:tplc="79B6C6A2" w:tentative="1">
      <w:start w:val="1"/>
      <w:numFmt w:val="lowerRoman"/>
      <w:lvlText w:val="%6."/>
      <w:lvlJc w:val="right"/>
      <w:pPr>
        <w:ind w:left="4320" w:hanging="180"/>
      </w:pPr>
    </w:lvl>
    <w:lvl w:ilvl="6" w:tplc="C778D110" w:tentative="1">
      <w:start w:val="1"/>
      <w:numFmt w:val="decimal"/>
      <w:lvlText w:val="%7."/>
      <w:lvlJc w:val="left"/>
      <w:pPr>
        <w:ind w:left="5040" w:hanging="360"/>
      </w:pPr>
    </w:lvl>
    <w:lvl w:ilvl="7" w:tplc="FA52D17C" w:tentative="1">
      <w:start w:val="1"/>
      <w:numFmt w:val="lowerLetter"/>
      <w:lvlText w:val="%8."/>
      <w:lvlJc w:val="left"/>
      <w:pPr>
        <w:ind w:left="5760" w:hanging="360"/>
      </w:pPr>
    </w:lvl>
    <w:lvl w:ilvl="8" w:tplc="009CB5A2" w:tentative="1">
      <w:start w:val="1"/>
      <w:numFmt w:val="lowerRoman"/>
      <w:lvlText w:val="%9."/>
      <w:lvlJc w:val="right"/>
      <w:pPr>
        <w:ind w:left="6480" w:hanging="180"/>
      </w:pPr>
    </w:lvl>
  </w:abstractNum>
  <w:abstractNum w:abstractNumId="26" w15:restartNumberingAfterBreak="0">
    <w:nsid w:val="3DFD44FF"/>
    <w:multiLevelType w:val="multilevel"/>
    <w:tmpl w:val="0A384DEA"/>
    <w:numStyleLink w:val="ListHeadings"/>
  </w:abstractNum>
  <w:abstractNum w:abstractNumId="27" w15:restartNumberingAfterBreak="0">
    <w:nsid w:val="470B392E"/>
    <w:multiLevelType w:val="multilevel"/>
    <w:tmpl w:val="53E83BB0"/>
    <w:lvl w:ilvl="0">
      <w:start w:val="1"/>
      <w:numFmt w:val="lowerLetter"/>
      <w:lvlText w:val="%1."/>
      <w:lvlJc w:val="left"/>
      <w:pPr>
        <w:ind w:left="566" w:hanging="283"/>
      </w:pPr>
      <w:rPr>
        <w:rFonts w:hint="default"/>
      </w:rPr>
    </w:lvl>
    <w:lvl w:ilvl="1">
      <w:start w:val="1"/>
      <w:numFmt w:val="none"/>
      <w:lvlText w:val=""/>
      <w:lvlJc w:val="left"/>
      <w:pPr>
        <w:ind w:left="567" w:hanging="284"/>
      </w:pPr>
      <w:rPr>
        <w:rFonts w:hint="default"/>
      </w:rPr>
    </w:lvl>
    <w:lvl w:ilvl="2">
      <w:start w:val="1"/>
      <w:numFmt w:val="none"/>
      <w:lvlRestart w:val="1"/>
      <w:lvlText w:val=""/>
      <w:lvlJc w:val="left"/>
      <w:pPr>
        <w:ind w:left="567" w:hanging="284"/>
      </w:pPr>
      <w:rPr>
        <w:rFonts w:hint="default"/>
      </w:rPr>
    </w:lvl>
    <w:lvl w:ilvl="3">
      <w:start w:val="1"/>
      <w:numFmt w:val="none"/>
      <w:lvlRestart w:val="1"/>
      <w:lvlText w:val=""/>
      <w:lvlJc w:val="left"/>
      <w:pPr>
        <w:ind w:left="567" w:hanging="284"/>
      </w:pPr>
      <w:rPr>
        <w:rFonts w:hint="default"/>
      </w:rPr>
    </w:lvl>
    <w:lvl w:ilvl="4">
      <w:start w:val="1"/>
      <w:numFmt w:val="none"/>
      <w:lvlRestart w:val="1"/>
      <w:lvlText w:val=""/>
      <w:lvlJc w:val="left"/>
      <w:pPr>
        <w:ind w:left="567" w:hanging="284"/>
      </w:pPr>
      <w:rPr>
        <w:rFonts w:hint="default"/>
      </w:rPr>
    </w:lvl>
    <w:lvl w:ilvl="5">
      <w:start w:val="1"/>
      <w:numFmt w:val="none"/>
      <w:lvlRestart w:val="1"/>
      <w:lvlText w:val=""/>
      <w:lvlJc w:val="left"/>
      <w:pPr>
        <w:ind w:left="567" w:hanging="284"/>
      </w:pPr>
      <w:rPr>
        <w:rFonts w:hint="default"/>
      </w:rPr>
    </w:lvl>
    <w:lvl w:ilvl="6">
      <w:start w:val="1"/>
      <w:numFmt w:val="none"/>
      <w:lvlRestart w:val="1"/>
      <w:lvlText w:val=""/>
      <w:lvlJc w:val="left"/>
      <w:pPr>
        <w:ind w:left="567" w:hanging="284"/>
      </w:pPr>
      <w:rPr>
        <w:rFonts w:hint="default"/>
      </w:rPr>
    </w:lvl>
    <w:lvl w:ilvl="7">
      <w:start w:val="1"/>
      <w:numFmt w:val="none"/>
      <w:lvlRestart w:val="1"/>
      <w:lvlText w:val=""/>
      <w:lvlJc w:val="left"/>
      <w:pPr>
        <w:ind w:left="567" w:hanging="284"/>
      </w:pPr>
      <w:rPr>
        <w:rFonts w:hint="default"/>
      </w:rPr>
    </w:lvl>
    <w:lvl w:ilvl="8">
      <w:start w:val="1"/>
      <w:numFmt w:val="none"/>
      <w:lvlRestart w:val="1"/>
      <w:lvlText w:val=""/>
      <w:lvlJc w:val="left"/>
      <w:pPr>
        <w:ind w:left="567" w:hanging="284"/>
      </w:pPr>
      <w:rPr>
        <w:rFonts w:hint="default"/>
      </w:rPr>
    </w:lvl>
  </w:abstractNum>
  <w:abstractNum w:abstractNumId="28" w15:restartNumberingAfterBreak="0">
    <w:nsid w:val="4C6211A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791D93"/>
    <w:multiLevelType w:val="multilevel"/>
    <w:tmpl w:val="711A791A"/>
    <w:lvl w:ilvl="0">
      <w:start w:val="2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0EE7F04"/>
    <w:multiLevelType w:val="multilevel"/>
    <w:tmpl w:val="C714C606"/>
    <w:lvl w:ilvl="0">
      <w:start w:val="1"/>
      <w:numFmt w:val="lowerRoman"/>
      <w:lvlText w:val="%1."/>
      <w:lvlJc w:val="left"/>
      <w:pPr>
        <w:ind w:left="566" w:hanging="283"/>
      </w:pPr>
      <w:rPr>
        <w:rFonts w:hint="default"/>
        <w:sz w:val="16"/>
      </w:rPr>
    </w:lvl>
    <w:lvl w:ilvl="1">
      <w:start w:val="1"/>
      <w:numFmt w:val="none"/>
      <w:lvlText w:val=""/>
      <w:lvlJc w:val="left"/>
      <w:pPr>
        <w:ind w:left="567" w:hanging="284"/>
      </w:pPr>
      <w:rPr>
        <w:rFonts w:hint="default"/>
      </w:rPr>
    </w:lvl>
    <w:lvl w:ilvl="2">
      <w:start w:val="1"/>
      <w:numFmt w:val="none"/>
      <w:lvlRestart w:val="1"/>
      <w:lvlText w:val=""/>
      <w:lvlJc w:val="left"/>
      <w:pPr>
        <w:ind w:left="567" w:hanging="284"/>
      </w:pPr>
      <w:rPr>
        <w:rFonts w:hint="default"/>
      </w:rPr>
    </w:lvl>
    <w:lvl w:ilvl="3">
      <w:start w:val="1"/>
      <w:numFmt w:val="none"/>
      <w:lvlRestart w:val="1"/>
      <w:lvlText w:val=""/>
      <w:lvlJc w:val="left"/>
      <w:pPr>
        <w:ind w:left="567" w:hanging="284"/>
      </w:pPr>
      <w:rPr>
        <w:rFonts w:hint="default"/>
      </w:rPr>
    </w:lvl>
    <w:lvl w:ilvl="4">
      <w:start w:val="1"/>
      <w:numFmt w:val="none"/>
      <w:lvlRestart w:val="1"/>
      <w:lvlText w:val=""/>
      <w:lvlJc w:val="left"/>
      <w:pPr>
        <w:ind w:left="567" w:hanging="284"/>
      </w:pPr>
      <w:rPr>
        <w:rFonts w:hint="default"/>
      </w:rPr>
    </w:lvl>
    <w:lvl w:ilvl="5">
      <w:start w:val="1"/>
      <w:numFmt w:val="none"/>
      <w:lvlRestart w:val="1"/>
      <w:lvlText w:val=""/>
      <w:lvlJc w:val="left"/>
      <w:pPr>
        <w:ind w:left="567" w:hanging="284"/>
      </w:pPr>
      <w:rPr>
        <w:rFonts w:hint="default"/>
      </w:rPr>
    </w:lvl>
    <w:lvl w:ilvl="6">
      <w:start w:val="1"/>
      <w:numFmt w:val="none"/>
      <w:lvlRestart w:val="1"/>
      <w:lvlText w:val=""/>
      <w:lvlJc w:val="left"/>
      <w:pPr>
        <w:ind w:left="567" w:hanging="284"/>
      </w:pPr>
      <w:rPr>
        <w:rFonts w:hint="default"/>
      </w:rPr>
    </w:lvl>
    <w:lvl w:ilvl="7">
      <w:start w:val="1"/>
      <w:numFmt w:val="none"/>
      <w:lvlRestart w:val="1"/>
      <w:lvlText w:val=""/>
      <w:lvlJc w:val="left"/>
      <w:pPr>
        <w:ind w:left="567" w:hanging="284"/>
      </w:pPr>
      <w:rPr>
        <w:rFonts w:hint="default"/>
      </w:rPr>
    </w:lvl>
    <w:lvl w:ilvl="8">
      <w:start w:val="1"/>
      <w:numFmt w:val="none"/>
      <w:lvlRestart w:val="1"/>
      <w:lvlText w:val=""/>
      <w:lvlJc w:val="left"/>
      <w:pPr>
        <w:ind w:left="567" w:hanging="284"/>
      </w:pPr>
      <w:rPr>
        <w:rFonts w:hint="default"/>
      </w:rPr>
    </w:lvl>
  </w:abstractNum>
  <w:abstractNum w:abstractNumId="31" w15:restartNumberingAfterBreak="0">
    <w:nsid w:val="54BD21DD"/>
    <w:multiLevelType w:val="multilevel"/>
    <w:tmpl w:val="4516BD58"/>
    <w:numStyleLink w:val="Bullets"/>
  </w:abstractNum>
  <w:abstractNum w:abstractNumId="32" w15:restartNumberingAfterBreak="0">
    <w:nsid w:val="596A0C8C"/>
    <w:multiLevelType w:val="multilevel"/>
    <w:tmpl w:val="AD006BE8"/>
    <w:numStyleLink w:val="Numbering"/>
  </w:abstractNum>
  <w:abstractNum w:abstractNumId="33" w15:restartNumberingAfterBreak="0">
    <w:nsid w:val="5DF952B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1805F3"/>
    <w:multiLevelType w:val="multilevel"/>
    <w:tmpl w:val="9BC43D18"/>
    <w:lvl w:ilvl="0">
      <w:start w:val="1"/>
      <w:numFmt w:val="decimal"/>
      <w:lvlText w:val="%1."/>
      <w:lvlJc w:val="left"/>
      <w:pPr>
        <w:ind w:left="283" w:hanging="283"/>
      </w:pPr>
      <w:rPr>
        <w:rFonts w:ascii="Century Gothic" w:hAnsi="Century Gothic" w:hint="default"/>
        <w:b w:val="0"/>
        <w:i w:val="0"/>
        <w:sz w:val="16"/>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35" w15:restartNumberingAfterBreak="0">
    <w:nsid w:val="5F58760E"/>
    <w:multiLevelType w:val="multilevel"/>
    <w:tmpl w:val="2842FAB0"/>
    <w:numStyleLink w:val="AppendixHeadings"/>
  </w:abstractNum>
  <w:abstractNum w:abstractNumId="36" w15:restartNumberingAfterBreak="0">
    <w:nsid w:val="60E1502C"/>
    <w:multiLevelType w:val="multilevel"/>
    <w:tmpl w:val="4516BD58"/>
    <w:styleLink w:val="Bullets"/>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7" w15:restartNumberingAfterBreak="0">
    <w:nsid w:val="6666331C"/>
    <w:multiLevelType w:val="hybridMultilevel"/>
    <w:tmpl w:val="4378B1B0"/>
    <w:lvl w:ilvl="0" w:tplc="366AC7E6">
      <w:start w:val="1"/>
      <w:numFmt w:val="lowerRoman"/>
      <w:lvlText w:val="%1."/>
      <w:lvlJc w:val="left"/>
      <w:pPr>
        <w:ind w:left="720" w:hanging="360"/>
      </w:pPr>
      <w:rPr>
        <w:rFonts w:hint="default"/>
        <w:b w:val="0"/>
        <w:i w:val="0"/>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C8B6546"/>
    <w:multiLevelType w:val="multilevel"/>
    <w:tmpl w:val="2842FAB0"/>
    <w:numStyleLink w:val="AppendixHeadings"/>
  </w:abstractNum>
  <w:abstractNum w:abstractNumId="39" w15:restartNumberingAfterBreak="0">
    <w:nsid w:val="6D8316F6"/>
    <w:multiLevelType w:val="multilevel"/>
    <w:tmpl w:val="74984C1A"/>
    <w:lvl w:ilvl="0">
      <w:start w:val="1"/>
      <w:numFmt w:val="decimal"/>
      <w:lvlText w:val="%1."/>
      <w:lvlJc w:val="left"/>
      <w:pPr>
        <w:ind w:left="566" w:hanging="283"/>
      </w:pPr>
      <w:rPr>
        <w:rFonts w:ascii="Century Gothic" w:hAnsi="Century Gothic" w:hint="default"/>
        <w:b w:val="0"/>
        <w:i w:val="0"/>
        <w:sz w:val="16"/>
      </w:rPr>
    </w:lvl>
    <w:lvl w:ilvl="1">
      <w:start w:val="1"/>
      <w:numFmt w:val="none"/>
      <w:lvlText w:val=""/>
      <w:lvlJc w:val="left"/>
      <w:pPr>
        <w:ind w:left="567" w:hanging="284"/>
      </w:pPr>
      <w:rPr>
        <w:rFonts w:hint="default"/>
      </w:rPr>
    </w:lvl>
    <w:lvl w:ilvl="2">
      <w:start w:val="1"/>
      <w:numFmt w:val="none"/>
      <w:lvlRestart w:val="1"/>
      <w:lvlText w:val=""/>
      <w:lvlJc w:val="left"/>
      <w:pPr>
        <w:ind w:left="567" w:hanging="284"/>
      </w:pPr>
      <w:rPr>
        <w:rFonts w:hint="default"/>
      </w:rPr>
    </w:lvl>
    <w:lvl w:ilvl="3">
      <w:start w:val="1"/>
      <w:numFmt w:val="none"/>
      <w:lvlRestart w:val="1"/>
      <w:lvlText w:val=""/>
      <w:lvlJc w:val="left"/>
      <w:pPr>
        <w:ind w:left="567" w:hanging="284"/>
      </w:pPr>
      <w:rPr>
        <w:rFonts w:hint="default"/>
      </w:rPr>
    </w:lvl>
    <w:lvl w:ilvl="4">
      <w:start w:val="1"/>
      <w:numFmt w:val="none"/>
      <w:lvlRestart w:val="1"/>
      <w:lvlText w:val=""/>
      <w:lvlJc w:val="left"/>
      <w:pPr>
        <w:ind w:left="567" w:hanging="284"/>
      </w:pPr>
      <w:rPr>
        <w:rFonts w:hint="default"/>
      </w:rPr>
    </w:lvl>
    <w:lvl w:ilvl="5">
      <w:start w:val="1"/>
      <w:numFmt w:val="none"/>
      <w:lvlRestart w:val="1"/>
      <w:lvlText w:val=""/>
      <w:lvlJc w:val="left"/>
      <w:pPr>
        <w:ind w:left="567" w:hanging="284"/>
      </w:pPr>
      <w:rPr>
        <w:rFonts w:hint="default"/>
      </w:rPr>
    </w:lvl>
    <w:lvl w:ilvl="6">
      <w:start w:val="1"/>
      <w:numFmt w:val="none"/>
      <w:lvlRestart w:val="1"/>
      <w:lvlText w:val=""/>
      <w:lvlJc w:val="left"/>
      <w:pPr>
        <w:ind w:left="567" w:hanging="284"/>
      </w:pPr>
      <w:rPr>
        <w:rFonts w:hint="default"/>
      </w:rPr>
    </w:lvl>
    <w:lvl w:ilvl="7">
      <w:start w:val="1"/>
      <w:numFmt w:val="none"/>
      <w:lvlRestart w:val="1"/>
      <w:lvlText w:val=""/>
      <w:lvlJc w:val="left"/>
      <w:pPr>
        <w:ind w:left="567" w:hanging="284"/>
      </w:pPr>
      <w:rPr>
        <w:rFonts w:hint="default"/>
      </w:rPr>
    </w:lvl>
    <w:lvl w:ilvl="8">
      <w:start w:val="1"/>
      <w:numFmt w:val="none"/>
      <w:lvlRestart w:val="1"/>
      <w:lvlText w:val=""/>
      <w:lvlJc w:val="left"/>
      <w:pPr>
        <w:ind w:left="567" w:hanging="284"/>
      </w:pPr>
      <w:rPr>
        <w:rFonts w:hint="default"/>
      </w:rPr>
    </w:lvl>
  </w:abstractNum>
  <w:abstractNum w:abstractNumId="40" w15:restartNumberingAfterBreak="0">
    <w:nsid w:val="6F7D6216"/>
    <w:multiLevelType w:val="multilevel"/>
    <w:tmpl w:val="F3E2DA6E"/>
    <w:styleLink w:val="JacobsSmallTableList1"/>
    <w:lvl w:ilvl="0">
      <w:start w:val="1"/>
      <w:numFmt w:val="bullet"/>
      <w:pStyle w:val="Tablesmallbullet"/>
      <w:lvlText w:val="§"/>
      <w:lvlJc w:val="left"/>
      <w:pPr>
        <w:ind w:left="284" w:hanging="284"/>
      </w:pPr>
      <w:rPr>
        <w:rFonts w:ascii="Wingdings" w:hAnsi="Wingdings"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41" w15:restartNumberingAfterBreak="0">
    <w:nsid w:val="723F2919"/>
    <w:multiLevelType w:val="multilevel"/>
    <w:tmpl w:val="C714C606"/>
    <w:lvl w:ilvl="0">
      <w:start w:val="1"/>
      <w:numFmt w:val="lowerRoman"/>
      <w:lvlText w:val="%1."/>
      <w:lvlJc w:val="left"/>
      <w:pPr>
        <w:ind w:left="566" w:hanging="283"/>
      </w:pPr>
      <w:rPr>
        <w:rFonts w:hint="default"/>
        <w:sz w:val="16"/>
      </w:rPr>
    </w:lvl>
    <w:lvl w:ilvl="1">
      <w:start w:val="1"/>
      <w:numFmt w:val="none"/>
      <w:lvlText w:val=""/>
      <w:lvlJc w:val="left"/>
      <w:pPr>
        <w:ind w:left="567" w:hanging="284"/>
      </w:pPr>
      <w:rPr>
        <w:rFonts w:hint="default"/>
      </w:rPr>
    </w:lvl>
    <w:lvl w:ilvl="2">
      <w:start w:val="1"/>
      <w:numFmt w:val="none"/>
      <w:lvlRestart w:val="1"/>
      <w:lvlText w:val=""/>
      <w:lvlJc w:val="left"/>
      <w:pPr>
        <w:ind w:left="567" w:hanging="284"/>
      </w:pPr>
      <w:rPr>
        <w:rFonts w:hint="default"/>
      </w:rPr>
    </w:lvl>
    <w:lvl w:ilvl="3">
      <w:start w:val="1"/>
      <w:numFmt w:val="none"/>
      <w:lvlRestart w:val="1"/>
      <w:lvlText w:val=""/>
      <w:lvlJc w:val="left"/>
      <w:pPr>
        <w:ind w:left="567" w:hanging="284"/>
      </w:pPr>
      <w:rPr>
        <w:rFonts w:hint="default"/>
      </w:rPr>
    </w:lvl>
    <w:lvl w:ilvl="4">
      <w:start w:val="1"/>
      <w:numFmt w:val="none"/>
      <w:lvlRestart w:val="1"/>
      <w:lvlText w:val=""/>
      <w:lvlJc w:val="left"/>
      <w:pPr>
        <w:ind w:left="567" w:hanging="284"/>
      </w:pPr>
      <w:rPr>
        <w:rFonts w:hint="default"/>
      </w:rPr>
    </w:lvl>
    <w:lvl w:ilvl="5">
      <w:start w:val="1"/>
      <w:numFmt w:val="none"/>
      <w:lvlRestart w:val="1"/>
      <w:lvlText w:val=""/>
      <w:lvlJc w:val="left"/>
      <w:pPr>
        <w:ind w:left="567" w:hanging="284"/>
      </w:pPr>
      <w:rPr>
        <w:rFonts w:hint="default"/>
      </w:rPr>
    </w:lvl>
    <w:lvl w:ilvl="6">
      <w:start w:val="1"/>
      <w:numFmt w:val="none"/>
      <w:lvlRestart w:val="1"/>
      <w:lvlText w:val=""/>
      <w:lvlJc w:val="left"/>
      <w:pPr>
        <w:ind w:left="567" w:hanging="284"/>
      </w:pPr>
      <w:rPr>
        <w:rFonts w:hint="default"/>
      </w:rPr>
    </w:lvl>
    <w:lvl w:ilvl="7">
      <w:start w:val="1"/>
      <w:numFmt w:val="none"/>
      <w:lvlRestart w:val="1"/>
      <w:lvlText w:val=""/>
      <w:lvlJc w:val="left"/>
      <w:pPr>
        <w:ind w:left="567" w:hanging="284"/>
      </w:pPr>
      <w:rPr>
        <w:rFonts w:hint="default"/>
      </w:rPr>
    </w:lvl>
    <w:lvl w:ilvl="8">
      <w:start w:val="1"/>
      <w:numFmt w:val="none"/>
      <w:lvlRestart w:val="1"/>
      <w:lvlText w:val=""/>
      <w:lvlJc w:val="left"/>
      <w:pPr>
        <w:ind w:left="567" w:hanging="284"/>
      </w:pPr>
      <w:rPr>
        <w:rFonts w:hint="default"/>
      </w:rPr>
    </w:lvl>
  </w:abstractNum>
  <w:abstractNum w:abstractNumId="42" w15:restartNumberingAfterBreak="0">
    <w:nsid w:val="74216C06"/>
    <w:multiLevelType w:val="multilevel"/>
    <w:tmpl w:val="0A384DEA"/>
    <w:numStyleLink w:val="ListHeadings"/>
  </w:abstractNum>
  <w:abstractNum w:abstractNumId="43"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D987E27"/>
    <w:multiLevelType w:val="multilevel"/>
    <w:tmpl w:val="2842FAB0"/>
    <w:numStyleLink w:val="AppendixHeadings"/>
  </w:abstractNum>
  <w:num w:numId="1" w16cid:durableId="1254897668">
    <w:abstractNumId w:val="36"/>
  </w:num>
  <w:num w:numId="2" w16cid:durableId="445738277">
    <w:abstractNumId w:val="16"/>
  </w:num>
  <w:num w:numId="3" w16cid:durableId="1793594145">
    <w:abstractNumId w:val="13"/>
  </w:num>
  <w:num w:numId="4" w16cid:durableId="1354846621">
    <w:abstractNumId w:val="18"/>
  </w:num>
  <w:num w:numId="5" w16cid:durableId="2216458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8822989">
    <w:abstractNumId w:val="23"/>
  </w:num>
  <w:num w:numId="7" w16cid:durableId="1818767665">
    <w:abstractNumId w:val="31"/>
  </w:num>
  <w:num w:numId="8" w16cid:durableId="1564754712">
    <w:abstractNumId w:val="22"/>
    <w:lvlOverride w:ilvl="0">
      <w:lvl w:ilvl="0">
        <w:start w:val="1"/>
        <w:numFmt w:val="decimal"/>
        <w:pStyle w:val="TableNumbers"/>
        <w:lvlText w:val="%1."/>
        <w:lvlJc w:val="left"/>
        <w:pPr>
          <w:ind w:left="284" w:hanging="284"/>
        </w:pPr>
        <w:rPr>
          <w:rFonts w:hint="default"/>
          <w:b w:val="0"/>
          <w:bCs w:val="0"/>
        </w:rPr>
      </w:lvl>
    </w:lvlOverride>
    <w:lvlOverride w:ilvl="1">
      <w:lvl w:ilvl="1">
        <w:start w:val="1"/>
        <w:numFmt w:val="bullet"/>
        <w:pStyle w:val="TableBullet"/>
        <w:lvlText w:val="•"/>
        <w:lvlJc w:val="left"/>
        <w:pPr>
          <w:ind w:left="284" w:hanging="284"/>
        </w:pPr>
        <w:rPr>
          <w:rFonts w:ascii="Calibri" w:hAnsi="Calibri" w:hint="default"/>
          <w:color w:val="2C4BA0" w:themeColor="accent1"/>
        </w:rPr>
      </w:lvl>
    </w:lvlOverride>
    <w:lvlOverride w:ilvl="2">
      <w:lvl w:ilvl="2">
        <w:start w:val="1"/>
        <w:numFmt w:val="bullet"/>
        <w:pStyle w:val="TableBullet2"/>
        <w:lvlText w:val="-"/>
        <w:lvlJc w:val="left"/>
        <w:pPr>
          <w:ind w:left="567" w:hanging="283"/>
        </w:pPr>
        <w:rPr>
          <w:rFonts w:ascii="Merriweather" w:hAnsi="Merriweather" w:hint="default"/>
          <w:color w:val="auto"/>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16cid:durableId="7182417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43257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05712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31772189">
    <w:abstractNumId w:val="19"/>
  </w:num>
  <w:num w:numId="13" w16cid:durableId="11329437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75449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81657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0426780">
    <w:abstractNumId w:val="6"/>
  </w:num>
  <w:num w:numId="17" w16cid:durableId="506211915">
    <w:abstractNumId w:val="26"/>
  </w:num>
  <w:num w:numId="18" w16cid:durableId="668026454">
    <w:abstractNumId w:val="15"/>
  </w:num>
  <w:num w:numId="19" w16cid:durableId="1287856516">
    <w:abstractNumId w:val="42"/>
  </w:num>
  <w:num w:numId="20" w16cid:durableId="2132821855">
    <w:abstractNumId w:val="43"/>
  </w:num>
  <w:num w:numId="21" w16cid:durableId="938220107">
    <w:abstractNumId w:val="38"/>
  </w:num>
  <w:num w:numId="22" w16cid:durableId="603076310">
    <w:abstractNumId w:val="44"/>
  </w:num>
  <w:num w:numId="23" w16cid:durableId="1127046679">
    <w:abstractNumId w:val="35"/>
  </w:num>
  <w:num w:numId="24" w16cid:durableId="851644494">
    <w:abstractNumId w:val="24"/>
  </w:num>
  <w:num w:numId="25" w16cid:durableId="444427027">
    <w:abstractNumId w:val="0"/>
  </w:num>
  <w:num w:numId="26" w16cid:durableId="1247232694">
    <w:abstractNumId w:val="5"/>
  </w:num>
  <w:num w:numId="27" w16cid:durableId="1638341039">
    <w:abstractNumId w:val="3"/>
  </w:num>
  <w:num w:numId="28" w16cid:durableId="423304857">
    <w:abstractNumId w:val="9"/>
  </w:num>
  <w:num w:numId="29" w16cid:durableId="529269505">
    <w:abstractNumId w:val="33"/>
  </w:num>
  <w:num w:numId="30" w16cid:durableId="2069110840">
    <w:abstractNumId w:val="28"/>
  </w:num>
  <w:num w:numId="31" w16cid:durableId="59980708">
    <w:abstractNumId w:val="29"/>
  </w:num>
  <w:num w:numId="32" w16cid:durableId="1533221878">
    <w:abstractNumId w:val="29"/>
  </w:num>
  <w:num w:numId="33" w16cid:durableId="892498102">
    <w:abstractNumId w:val="8"/>
  </w:num>
  <w:num w:numId="34" w16cid:durableId="1707173967">
    <w:abstractNumId w:val="2"/>
  </w:num>
  <w:num w:numId="35" w16cid:durableId="1462578083">
    <w:abstractNumId w:val="21"/>
  </w:num>
  <w:num w:numId="36" w16cid:durableId="3216975">
    <w:abstractNumId w:val="25"/>
  </w:num>
  <w:num w:numId="37" w16cid:durableId="981424161">
    <w:abstractNumId w:val="40"/>
  </w:num>
  <w:num w:numId="38" w16cid:durableId="428308096">
    <w:abstractNumId w:val="1"/>
  </w:num>
  <w:num w:numId="39" w16cid:durableId="793214217">
    <w:abstractNumId w:val="31"/>
  </w:num>
  <w:num w:numId="40" w16cid:durableId="814102658">
    <w:abstractNumId w:val="31"/>
  </w:num>
  <w:num w:numId="41" w16cid:durableId="334916865">
    <w:abstractNumId w:val="31"/>
  </w:num>
  <w:num w:numId="42" w16cid:durableId="187254637">
    <w:abstractNumId w:val="31"/>
  </w:num>
  <w:num w:numId="43" w16cid:durableId="1258557065">
    <w:abstractNumId w:val="31"/>
  </w:num>
  <w:num w:numId="44" w16cid:durableId="338430723">
    <w:abstractNumId w:val="3"/>
  </w:num>
  <w:num w:numId="45" w16cid:durableId="859929960">
    <w:abstractNumId w:val="11"/>
  </w:num>
  <w:num w:numId="46" w16cid:durableId="1852644253">
    <w:abstractNumId w:val="5"/>
  </w:num>
  <w:num w:numId="47" w16cid:durableId="883716296">
    <w:abstractNumId w:val="5"/>
  </w:num>
  <w:num w:numId="48" w16cid:durableId="1971520842">
    <w:abstractNumId w:val="31"/>
  </w:num>
  <w:num w:numId="49" w16cid:durableId="1026057648">
    <w:abstractNumId w:val="31"/>
  </w:num>
  <w:num w:numId="50" w16cid:durableId="1430349484">
    <w:abstractNumId w:val="31"/>
  </w:num>
  <w:num w:numId="51" w16cid:durableId="1286043272">
    <w:abstractNumId w:val="14"/>
    <w:lvlOverride w:ilvl="0">
      <w:lvl w:ilvl="0">
        <w:start w:val="1"/>
        <w:numFmt w:val="decimal"/>
        <w:pStyle w:val="Tablesmallnumber"/>
        <w:lvlText w:val="%1)"/>
        <w:lvlJc w:val="left"/>
        <w:pPr>
          <w:ind w:left="283" w:hanging="283"/>
        </w:pPr>
        <w:rPr>
          <w:rFonts w:hint="default"/>
        </w:rPr>
      </w:lvl>
    </w:lvlOverride>
    <w:lvlOverride w:ilvl="1">
      <w:lvl w:ilvl="1">
        <w:start w:val="1"/>
        <w:numFmt w:val="lowerLetter"/>
        <w:lvlText w:val="%2)"/>
        <w:lvlJc w:val="left"/>
        <w:pPr>
          <w:ind w:left="567" w:hanging="283"/>
        </w:pPr>
        <w:rPr>
          <w:rFonts w:hint="default"/>
        </w:rPr>
      </w:lvl>
    </w:lvlOverride>
    <w:lvlOverride w:ilvl="2">
      <w:lvl w:ilvl="2">
        <w:start w:val="1"/>
        <w:numFmt w:val="none"/>
        <w:lvlText w:val=""/>
        <w:lvlJc w:val="left"/>
        <w:pPr>
          <w:ind w:left="567" w:hanging="283"/>
        </w:pPr>
        <w:rPr>
          <w:rFonts w:hint="default"/>
        </w:rPr>
      </w:lvl>
    </w:lvlOverride>
    <w:lvlOverride w:ilvl="3">
      <w:lvl w:ilvl="3">
        <w:start w:val="1"/>
        <w:numFmt w:val="none"/>
        <w:lvlRestart w:val="2"/>
        <w:lvlText w:val=""/>
        <w:lvlJc w:val="left"/>
        <w:pPr>
          <w:ind w:left="567" w:hanging="283"/>
        </w:pPr>
        <w:rPr>
          <w:rFonts w:hint="default"/>
        </w:rPr>
      </w:lvl>
    </w:lvlOverride>
    <w:lvlOverride w:ilvl="4">
      <w:lvl w:ilvl="4">
        <w:start w:val="1"/>
        <w:numFmt w:val="none"/>
        <w:lvlRestart w:val="2"/>
        <w:lvlText w:val=""/>
        <w:lvlJc w:val="left"/>
        <w:pPr>
          <w:ind w:left="567" w:hanging="283"/>
        </w:pPr>
        <w:rPr>
          <w:rFonts w:hint="default"/>
        </w:rPr>
      </w:lvl>
    </w:lvlOverride>
    <w:lvlOverride w:ilvl="5">
      <w:lvl w:ilvl="5">
        <w:start w:val="1"/>
        <w:numFmt w:val="none"/>
        <w:lvlRestart w:val="2"/>
        <w:lvlText w:val=""/>
        <w:lvlJc w:val="left"/>
        <w:pPr>
          <w:ind w:left="567" w:hanging="283"/>
        </w:pPr>
        <w:rPr>
          <w:rFonts w:hint="default"/>
        </w:rPr>
      </w:lvl>
    </w:lvlOverride>
    <w:lvlOverride w:ilvl="6">
      <w:lvl w:ilvl="6">
        <w:start w:val="1"/>
        <w:numFmt w:val="none"/>
        <w:lvlRestart w:val="2"/>
        <w:lvlText w:val=""/>
        <w:lvlJc w:val="left"/>
        <w:pPr>
          <w:ind w:left="567" w:hanging="283"/>
        </w:pPr>
        <w:rPr>
          <w:rFonts w:hint="default"/>
        </w:rPr>
      </w:lvl>
    </w:lvlOverride>
    <w:lvlOverride w:ilvl="7">
      <w:lvl w:ilvl="7">
        <w:start w:val="1"/>
        <w:numFmt w:val="none"/>
        <w:lvlRestart w:val="2"/>
        <w:lvlText w:val=""/>
        <w:lvlJc w:val="left"/>
        <w:pPr>
          <w:ind w:left="567" w:hanging="283"/>
        </w:pPr>
        <w:rPr>
          <w:rFonts w:hint="default"/>
        </w:rPr>
      </w:lvl>
    </w:lvlOverride>
    <w:lvlOverride w:ilvl="8">
      <w:lvl w:ilvl="8">
        <w:start w:val="1"/>
        <w:numFmt w:val="none"/>
        <w:lvlRestart w:val="2"/>
        <w:lvlText w:val=""/>
        <w:lvlJc w:val="left"/>
        <w:pPr>
          <w:ind w:left="567" w:hanging="283"/>
        </w:pPr>
        <w:rPr>
          <w:rFonts w:hint="default"/>
        </w:rPr>
      </w:lvl>
    </w:lvlOverride>
  </w:num>
  <w:num w:numId="52" w16cid:durableId="413551037">
    <w:abstractNumId w:val="17"/>
  </w:num>
  <w:num w:numId="53" w16cid:durableId="1885671808">
    <w:abstractNumId w:val="37"/>
  </w:num>
  <w:num w:numId="54" w16cid:durableId="1582107240">
    <w:abstractNumId w:val="14"/>
  </w:num>
  <w:num w:numId="55" w16cid:durableId="1641567635">
    <w:abstractNumId w:val="27"/>
  </w:num>
  <w:num w:numId="56" w16cid:durableId="1682467218">
    <w:abstractNumId w:val="17"/>
  </w:num>
  <w:num w:numId="57" w16cid:durableId="1877113659">
    <w:abstractNumId w:val="20"/>
  </w:num>
  <w:num w:numId="58" w16cid:durableId="25297985">
    <w:abstractNumId w:val="30"/>
  </w:num>
  <w:num w:numId="59" w16cid:durableId="275253661">
    <w:abstractNumId w:val="17"/>
  </w:num>
  <w:num w:numId="60" w16cid:durableId="904728415">
    <w:abstractNumId w:val="17"/>
  </w:num>
  <w:num w:numId="61" w16cid:durableId="439187779">
    <w:abstractNumId w:val="17"/>
  </w:num>
  <w:num w:numId="62" w16cid:durableId="12370592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8054382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018928">
    <w:abstractNumId w:val="7"/>
  </w:num>
  <w:num w:numId="65" w16cid:durableId="1704206528">
    <w:abstractNumId w:val="14"/>
    <w:lvlOverride w:ilvl="0">
      <w:lvl w:ilvl="0">
        <w:start w:val="1"/>
        <w:numFmt w:val="decimal"/>
        <w:pStyle w:val="Tablesmallnumber"/>
        <w:lvlText w:val="%1."/>
        <w:lvlJc w:val="left"/>
        <w:pPr>
          <w:ind w:left="360" w:hanging="360"/>
        </w:pPr>
        <w:rPr>
          <w:rFonts w:ascii="Century Gothic" w:hAnsi="Century Gothic" w:hint="default"/>
          <w:b w:val="0"/>
          <w:i w:val="0"/>
          <w:sz w:val="18"/>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66" w16cid:durableId="1846935772">
    <w:abstractNumId w:val="14"/>
    <w:lvlOverride w:ilvl="0">
      <w:startOverride w:val="1"/>
      <w:lvl w:ilvl="0">
        <w:start w:val="1"/>
        <w:numFmt w:val="decimal"/>
        <w:pStyle w:val="Tablesmallnumber"/>
        <w:lvlText w:val="%1."/>
        <w:lvlJc w:val="left"/>
        <w:pPr>
          <w:ind w:left="360" w:hanging="360"/>
        </w:pPr>
        <w:rPr>
          <w:rFonts w:ascii="Century Gothic" w:hAnsi="Century Gothic" w:hint="default"/>
          <w:b w:val="0"/>
          <w:i w:val="0"/>
          <w:sz w:val="18"/>
        </w:rPr>
      </w:lvl>
    </w:lvlOverride>
    <w:lvlOverride w:ilvl="1">
      <w:startOverride w:val="1"/>
      <w:lvl w:ilvl="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67" w16cid:durableId="1574585364">
    <w:abstractNumId w:val="17"/>
  </w:num>
  <w:num w:numId="68" w16cid:durableId="324669311">
    <w:abstractNumId w:val="10"/>
  </w:num>
  <w:num w:numId="69" w16cid:durableId="386143877">
    <w:abstractNumId w:val="17"/>
  </w:num>
  <w:num w:numId="70" w16cid:durableId="775254866">
    <w:abstractNumId w:val="17"/>
  </w:num>
  <w:num w:numId="71" w16cid:durableId="1607274832">
    <w:abstractNumId w:val="41"/>
  </w:num>
  <w:num w:numId="72" w16cid:durableId="979074598">
    <w:abstractNumId w:val="17"/>
  </w:num>
  <w:num w:numId="73" w16cid:durableId="1812483673">
    <w:abstractNumId w:val="14"/>
    <w:lvlOverride w:ilvl="0">
      <w:lvl w:ilvl="0">
        <w:start w:val="1"/>
        <w:numFmt w:val="decimal"/>
        <w:pStyle w:val="Tablesmallnumber"/>
        <w:lvlText w:val="%1."/>
        <w:lvlJc w:val="left"/>
        <w:pPr>
          <w:ind w:left="360" w:hanging="360"/>
        </w:pPr>
        <w:rPr>
          <w:rFonts w:ascii="Century Gothic" w:hAnsi="Century Gothic" w:hint="default"/>
          <w:b w:val="0"/>
          <w:i w:val="0"/>
          <w:sz w:val="16"/>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4" w16cid:durableId="612833302">
    <w:abstractNumId w:val="14"/>
    <w:lvlOverride w:ilvl="0">
      <w:lvl w:ilvl="0">
        <w:start w:val="1"/>
        <w:numFmt w:val="decimal"/>
        <w:pStyle w:val="Tablesmallnumber"/>
        <w:lvlText w:val="%1."/>
        <w:lvlJc w:val="left"/>
        <w:pPr>
          <w:ind w:left="360" w:hanging="360"/>
        </w:pPr>
        <w:rPr>
          <w:rFonts w:ascii="Century Gothic" w:hAnsi="Century Gothic" w:hint="default"/>
          <w:b w:val="0"/>
          <w:i w:val="0"/>
          <w:sz w:val="16"/>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5" w16cid:durableId="1906649217">
    <w:abstractNumId w:val="14"/>
    <w:lvlOverride w:ilvl="0">
      <w:lvl w:ilvl="0">
        <w:start w:val="1"/>
        <w:numFmt w:val="decimal"/>
        <w:pStyle w:val="Tablesmallnumber"/>
        <w:lvlText w:val="%1)"/>
        <w:lvlJc w:val="left"/>
        <w:pPr>
          <w:ind w:left="283" w:hanging="283"/>
        </w:pPr>
        <w:rPr>
          <w:rFonts w:hint="default"/>
        </w:rPr>
      </w:lvl>
    </w:lvlOverride>
    <w:lvlOverride w:ilvl="1">
      <w:lvl w:ilvl="1">
        <w:start w:val="1"/>
        <w:numFmt w:val="lowerLetter"/>
        <w:lvlText w:val="%2)"/>
        <w:lvlJc w:val="left"/>
        <w:pPr>
          <w:ind w:left="567" w:hanging="283"/>
        </w:pPr>
        <w:rPr>
          <w:rFonts w:hint="default"/>
        </w:rPr>
      </w:lvl>
    </w:lvlOverride>
    <w:lvlOverride w:ilvl="2">
      <w:lvl w:ilvl="2">
        <w:start w:val="1"/>
        <w:numFmt w:val="none"/>
        <w:lvlText w:val=""/>
        <w:lvlJc w:val="left"/>
        <w:pPr>
          <w:ind w:left="567" w:hanging="283"/>
        </w:pPr>
        <w:rPr>
          <w:rFonts w:hint="default"/>
        </w:rPr>
      </w:lvl>
    </w:lvlOverride>
    <w:lvlOverride w:ilvl="3">
      <w:lvl w:ilvl="3">
        <w:start w:val="1"/>
        <w:numFmt w:val="none"/>
        <w:lvlRestart w:val="2"/>
        <w:lvlText w:val=""/>
        <w:lvlJc w:val="left"/>
        <w:pPr>
          <w:ind w:left="567" w:hanging="283"/>
        </w:pPr>
        <w:rPr>
          <w:rFonts w:hint="default"/>
        </w:rPr>
      </w:lvl>
    </w:lvlOverride>
    <w:lvlOverride w:ilvl="4">
      <w:lvl w:ilvl="4">
        <w:start w:val="1"/>
        <w:numFmt w:val="none"/>
        <w:lvlRestart w:val="2"/>
        <w:lvlText w:val=""/>
        <w:lvlJc w:val="left"/>
        <w:pPr>
          <w:ind w:left="567" w:hanging="283"/>
        </w:pPr>
        <w:rPr>
          <w:rFonts w:hint="default"/>
        </w:rPr>
      </w:lvl>
    </w:lvlOverride>
    <w:lvlOverride w:ilvl="5">
      <w:lvl w:ilvl="5">
        <w:start w:val="1"/>
        <w:numFmt w:val="none"/>
        <w:lvlRestart w:val="2"/>
        <w:lvlText w:val=""/>
        <w:lvlJc w:val="left"/>
        <w:pPr>
          <w:ind w:left="567" w:hanging="283"/>
        </w:pPr>
        <w:rPr>
          <w:rFonts w:hint="default"/>
        </w:rPr>
      </w:lvl>
    </w:lvlOverride>
    <w:lvlOverride w:ilvl="6">
      <w:lvl w:ilvl="6">
        <w:start w:val="1"/>
        <w:numFmt w:val="none"/>
        <w:lvlRestart w:val="2"/>
        <w:lvlText w:val=""/>
        <w:lvlJc w:val="left"/>
        <w:pPr>
          <w:ind w:left="567" w:hanging="283"/>
        </w:pPr>
        <w:rPr>
          <w:rFonts w:hint="default"/>
        </w:rPr>
      </w:lvl>
    </w:lvlOverride>
    <w:lvlOverride w:ilvl="7">
      <w:lvl w:ilvl="7">
        <w:start w:val="1"/>
        <w:numFmt w:val="none"/>
        <w:lvlRestart w:val="2"/>
        <w:lvlText w:val=""/>
        <w:lvlJc w:val="left"/>
        <w:pPr>
          <w:ind w:left="567" w:hanging="283"/>
        </w:pPr>
        <w:rPr>
          <w:rFonts w:hint="default"/>
        </w:rPr>
      </w:lvl>
    </w:lvlOverride>
    <w:lvlOverride w:ilvl="8">
      <w:lvl w:ilvl="8">
        <w:start w:val="1"/>
        <w:numFmt w:val="none"/>
        <w:lvlRestart w:val="2"/>
        <w:lvlText w:val=""/>
        <w:lvlJc w:val="left"/>
        <w:pPr>
          <w:ind w:left="567" w:hanging="283"/>
        </w:pPr>
        <w:rPr>
          <w:rFonts w:hint="default"/>
        </w:rPr>
      </w:lvl>
    </w:lvlOverride>
  </w:num>
  <w:num w:numId="76" w16cid:durableId="910894191">
    <w:abstractNumId w:val="14"/>
    <w:lvlOverride w:ilvl="0">
      <w:lvl w:ilvl="0">
        <w:start w:val="1"/>
        <w:numFmt w:val="decimal"/>
        <w:pStyle w:val="Tablesmallnumber"/>
        <w:lvlText w:val="%1."/>
        <w:lvlJc w:val="left"/>
        <w:pPr>
          <w:ind w:left="360" w:hanging="360"/>
        </w:pPr>
        <w:rPr>
          <w:rFonts w:ascii="Century Gothic" w:hAnsi="Century Gothic" w:hint="default"/>
          <w:b w:val="0"/>
          <w:i w:val="0"/>
          <w:sz w:val="16"/>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7" w16cid:durableId="2097555500">
    <w:abstractNumId w:val="34"/>
  </w:num>
  <w:num w:numId="78" w16cid:durableId="68233926">
    <w:abstractNumId w:val="39"/>
  </w:num>
  <w:num w:numId="79" w16cid:durableId="1293944645">
    <w:abstractNumId w:val="17"/>
  </w:num>
  <w:num w:numId="80" w16cid:durableId="1644919574">
    <w:abstractNumId w:val="4"/>
  </w:num>
  <w:num w:numId="81" w16cid:durableId="1960069507">
    <w:abstractNumId w:val="12"/>
  </w:num>
  <w:num w:numId="82" w16cid:durableId="11763853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239485010">
    <w:abstractNumId w:val="4"/>
    <w:lvlOverride w:ilvl="0">
      <w:startOverride w:val="1"/>
    </w:lvlOverride>
  </w:num>
  <w:num w:numId="84" w16cid:durableId="1056903329">
    <w:abstractNumId w:val="22"/>
    <w:lvlOverride w:ilvl="0">
      <w:startOverride w:val="1"/>
      <w:lvl w:ilvl="0">
        <w:start w:val="1"/>
        <w:numFmt w:val="decimal"/>
        <w:pStyle w:val="TableNumbers"/>
        <w:lvlText w:val="%1."/>
        <w:lvlJc w:val="left"/>
        <w:pPr>
          <w:ind w:left="284" w:hanging="284"/>
        </w:pPr>
        <w:rPr>
          <w:rFonts w:hint="default"/>
        </w:rPr>
      </w:lvl>
    </w:lvlOverride>
    <w:lvlOverride w:ilvl="1">
      <w:startOverride w:val="1"/>
      <w:lvl w:ilvl="1">
        <w:start w:val="1"/>
        <w:numFmt w:val="bullet"/>
        <w:pStyle w:val="TableBullet"/>
        <w:lvlText w:val="•"/>
        <w:lvlJc w:val="left"/>
        <w:pPr>
          <w:ind w:left="284" w:hanging="284"/>
        </w:pPr>
        <w:rPr>
          <w:rFonts w:ascii="Calibri" w:hAnsi="Calibri" w:hint="default"/>
          <w:color w:val="2C4BA0" w:themeColor="accent1"/>
        </w:rPr>
      </w:lvl>
    </w:lvlOverride>
    <w:lvlOverride w:ilvl="2">
      <w:startOverride w:val="1"/>
      <w:lvl w:ilvl="2">
        <w:start w:val="1"/>
        <w:numFmt w:val="bullet"/>
        <w:pStyle w:val="TableBullet2"/>
        <w:lvlText w:val="-"/>
        <w:lvlJc w:val="left"/>
        <w:pPr>
          <w:ind w:left="567" w:hanging="283"/>
        </w:pPr>
        <w:rPr>
          <w:rFonts w:ascii="Merriweather" w:hAnsi="Merriweather" w:hint="default"/>
          <w:color w:val="auto"/>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5" w16cid:durableId="1848640567">
    <w:abstractNumId w:val="4"/>
    <w:lvlOverride w:ilvl="0">
      <w:startOverride w:val="1"/>
    </w:lvlOverride>
  </w:num>
  <w:num w:numId="86" w16cid:durableId="1327398460">
    <w:abstractNumId w:val="12"/>
    <w:lvlOverride w:ilvl="0">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NNQTcPzwCo3yqEvQCo0Xr7GFePpBs3Z3y8EcwFdcdtRRTKJ0vviYzgX8ZAMJ9q5hjv/GkzkMe2gpJsitXoqaLg==" w:salt="LA8zd0QX/7UevcXPFzTkIA=="/>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208"/>
    <w:rsid w:val="00000DF2"/>
    <w:rsid w:val="00002B17"/>
    <w:rsid w:val="000033B9"/>
    <w:rsid w:val="00004124"/>
    <w:rsid w:val="000043ED"/>
    <w:rsid w:val="0000450E"/>
    <w:rsid w:val="00005052"/>
    <w:rsid w:val="000059BF"/>
    <w:rsid w:val="0000635B"/>
    <w:rsid w:val="00006E48"/>
    <w:rsid w:val="00007835"/>
    <w:rsid w:val="00015EAA"/>
    <w:rsid w:val="000172EB"/>
    <w:rsid w:val="00017625"/>
    <w:rsid w:val="0002083E"/>
    <w:rsid w:val="00020C22"/>
    <w:rsid w:val="000241FF"/>
    <w:rsid w:val="00024246"/>
    <w:rsid w:val="00024D40"/>
    <w:rsid w:val="000300AF"/>
    <w:rsid w:val="000325A5"/>
    <w:rsid w:val="000327C8"/>
    <w:rsid w:val="00032C89"/>
    <w:rsid w:val="00033034"/>
    <w:rsid w:val="000331C6"/>
    <w:rsid w:val="00033E7C"/>
    <w:rsid w:val="00035EF1"/>
    <w:rsid w:val="00037B62"/>
    <w:rsid w:val="00040C22"/>
    <w:rsid w:val="00043644"/>
    <w:rsid w:val="00045364"/>
    <w:rsid w:val="00045E2E"/>
    <w:rsid w:val="0004624B"/>
    <w:rsid w:val="00046C75"/>
    <w:rsid w:val="0004721B"/>
    <w:rsid w:val="000477CF"/>
    <w:rsid w:val="00047962"/>
    <w:rsid w:val="00047B5C"/>
    <w:rsid w:val="00051E23"/>
    <w:rsid w:val="00054F61"/>
    <w:rsid w:val="00055225"/>
    <w:rsid w:val="00055D1B"/>
    <w:rsid w:val="00056AF5"/>
    <w:rsid w:val="00056C87"/>
    <w:rsid w:val="00060483"/>
    <w:rsid w:val="0006371B"/>
    <w:rsid w:val="00063F8E"/>
    <w:rsid w:val="00064DA6"/>
    <w:rsid w:val="00066BBF"/>
    <w:rsid w:val="00071E84"/>
    <w:rsid w:val="000724AE"/>
    <w:rsid w:val="00072C66"/>
    <w:rsid w:val="00073670"/>
    <w:rsid w:val="000737C5"/>
    <w:rsid w:val="0007421B"/>
    <w:rsid w:val="000742F4"/>
    <w:rsid w:val="00076262"/>
    <w:rsid w:val="00077558"/>
    <w:rsid w:val="0008037D"/>
    <w:rsid w:val="00080461"/>
    <w:rsid w:val="00080DD1"/>
    <w:rsid w:val="00082056"/>
    <w:rsid w:val="00083A51"/>
    <w:rsid w:val="00084150"/>
    <w:rsid w:val="000846C7"/>
    <w:rsid w:val="00084A94"/>
    <w:rsid w:val="00085EB7"/>
    <w:rsid w:val="0008724B"/>
    <w:rsid w:val="00087DA6"/>
    <w:rsid w:val="00090CE9"/>
    <w:rsid w:val="000910C2"/>
    <w:rsid w:val="00092471"/>
    <w:rsid w:val="000944F4"/>
    <w:rsid w:val="00094E43"/>
    <w:rsid w:val="000960B1"/>
    <w:rsid w:val="0009707A"/>
    <w:rsid w:val="000A1F6B"/>
    <w:rsid w:val="000A20E3"/>
    <w:rsid w:val="000A23B3"/>
    <w:rsid w:val="000A25E2"/>
    <w:rsid w:val="000A6BFB"/>
    <w:rsid w:val="000A6E7B"/>
    <w:rsid w:val="000B1CF7"/>
    <w:rsid w:val="000B3EE4"/>
    <w:rsid w:val="000B4586"/>
    <w:rsid w:val="000B497F"/>
    <w:rsid w:val="000B5088"/>
    <w:rsid w:val="000B6183"/>
    <w:rsid w:val="000B6757"/>
    <w:rsid w:val="000B6AE7"/>
    <w:rsid w:val="000C043E"/>
    <w:rsid w:val="000C0821"/>
    <w:rsid w:val="000C1B98"/>
    <w:rsid w:val="000C22FD"/>
    <w:rsid w:val="000C5059"/>
    <w:rsid w:val="000C5819"/>
    <w:rsid w:val="000C58BB"/>
    <w:rsid w:val="000C5E63"/>
    <w:rsid w:val="000C6D31"/>
    <w:rsid w:val="000C732E"/>
    <w:rsid w:val="000D17FB"/>
    <w:rsid w:val="000D2C68"/>
    <w:rsid w:val="000D3C58"/>
    <w:rsid w:val="000D422D"/>
    <w:rsid w:val="000D4533"/>
    <w:rsid w:val="000D5B78"/>
    <w:rsid w:val="000D66B8"/>
    <w:rsid w:val="000E06A2"/>
    <w:rsid w:val="000E21B9"/>
    <w:rsid w:val="000E2B3B"/>
    <w:rsid w:val="000E2D78"/>
    <w:rsid w:val="000E5388"/>
    <w:rsid w:val="000E5D88"/>
    <w:rsid w:val="000E72FD"/>
    <w:rsid w:val="000E7E16"/>
    <w:rsid w:val="000F0E7F"/>
    <w:rsid w:val="000F0F89"/>
    <w:rsid w:val="000F124A"/>
    <w:rsid w:val="000F1686"/>
    <w:rsid w:val="000F33BA"/>
    <w:rsid w:val="000F490F"/>
    <w:rsid w:val="000F52F0"/>
    <w:rsid w:val="000F7B89"/>
    <w:rsid w:val="00100B16"/>
    <w:rsid w:val="001020F2"/>
    <w:rsid w:val="0010279F"/>
    <w:rsid w:val="00102E04"/>
    <w:rsid w:val="00103778"/>
    <w:rsid w:val="001051C9"/>
    <w:rsid w:val="001051CB"/>
    <w:rsid w:val="00110087"/>
    <w:rsid w:val="001103C9"/>
    <w:rsid w:val="00110CBF"/>
    <w:rsid w:val="00111294"/>
    <w:rsid w:val="0011259A"/>
    <w:rsid w:val="00112BD5"/>
    <w:rsid w:val="00112E8F"/>
    <w:rsid w:val="001130DB"/>
    <w:rsid w:val="00115290"/>
    <w:rsid w:val="0011602C"/>
    <w:rsid w:val="00116056"/>
    <w:rsid w:val="00116731"/>
    <w:rsid w:val="0011764B"/>
    <w:rsid w:val="001176C4"/>
    <w:rsid w:val="001206E0"/>
    <w:rsid w:val="001225FB"/>
    <w:rsid w:val="00122707"/>
    <w:rsid w:val="00123F43"/>
    <w:rsid w:val="001249D1"/>
    <w:rsid w:val="00125639"/>
    <w:rsid w:val="00125800"/>
    <w:rsid w:val="00125ABC"/>
    <w:rsid w:val="0012641D"/>
    <w:rsid w:val="001268BC"/>
    <w:rsid w:val="00126A2C"/>
    <w:rsid w:val="0012710A"/>
    <w:rsid w:val="00130A75"/>
    <w:rsid w:val="00132002"/>
    <w:rsid w:val="00132861"/>
    <w:rsid w:val="00133B8B"/>
    <w:rsid w:val="00133F0B"/>
    <w:rsid w:val="0013534E"/>
    <w:rsid w:val="001359AE"/>
    <w:rsid w:val="00136794"/>
    <w:rsid w:val="00136A6C"/>
    <w:rsid w:val="0013790D"/>
    <w:rsid w:val="001411D3"/>
    <w:rsid w:val="0014200A"/>
    <w:rsid w:val="0014226E"/>
    <w:rsid w:val="00142D10"/>
    <w:rsid w:val="00143205"/>
    <w:rsid w:val="00145DFD"/>
    <w:rsid w:val="00145E53"/>
    <w:rsid w:val="0014641C"/>
    <w:rsid w:val="00146955"/>
    <w:rsid w:val="00146E0F"/>
    <w:rsid w:val="00150C53"/>
    <w:rsid w:val="00151DA9"/>
    <w:rsid w:val="00153CE6"/>
    <w:rsid w:val="001578D8"/>
    <w:rsid w:val="001605BB"/>
    <w:rsid w:val="00161768"/>
    <w:rsid w:val="00162101"/>
    <w:rsid w:val="00162EA3"/>
    <w:rsid w:val="00163FFF"/>
    <w:rsid w:val="001653C3"/>
    <w:rsid w:val="001673B1"/>
    <w:rsid w:val="0017175E"/>
    <w:rsid w:val="00171AC5"/>
    <w:rsid w:val="00172724"/>
    <w:rsid w:val="001731D2"/>
    <w:rsid w:val="0017533E"/>
    <w:rsid w:val="00175A1F"/>
    <w:rsid w:val="00175F34"/>
    <w:rsid w:val="00176649"/>
    <w:rsid w:val="00177B8C"/>
    <w:rsid w:val="00177D52"/>
    <w:rsid w:val="00182373"/>
    <w:rsid w:val="00182D0D"/>
    <w:rsid w:val="001833D1"/>
    <w:rsid w:val="0018346A"/>
    <w:rsid w:val="00183521"/>
    <w:rsid w:val="00184CF6"/>
    <w:rsid w:val="0018501A"/>
    <w:rsid w:val="00186CB2"/>
    <w:rsid w:val="001907B5"/>
    <w:rsid w:val="0019234D"/>
    <w:rsid w:val="001927EF"/>
    <w:rsid w:val="00192AC2"/>
    <w:rsid w:val="00193DD6"/>
    <w:rsid w:val="001948CE"/>
    <w:rsid w:val="00196482"/>
    <w:rsid w:val="001A0911"/>
    <w:rsid w:val="001A0D77"/>
    <w:rsid w:val="001A0F01"/>
    <w:rsid w:val="001A3001"/>
    <w:rsid w:val="001A3DBC"/>
    <w:rsid w:val="001A5E20"/>
    <w:rsid w:val="001A6B03"/>
    <w:rsid w:val="001B1D1D"/>
    <w:rsid w:val="001B2899"/>
    <w:rsid w:val="001B4984"/>
    <w:rsid w:val="001B58BD"/>
    <w:rsid w:val="001B63F7"/>
    <w:rsid w:val="001B7D71"/>
    <w:rsid w:val="001C00F7"/>
    <w:rsid w:val="001C0A71"/>
    <w:rsid w:val="001C0B22"/>
    <w:rsid w:val="001C0BAB"/>
    <w:rsid w:val="001C1193"/>
    <w:rsid w:val="001C2CB4"/>
    <w:rsid w:val="001C3E8E"/>
    <w:rsid w:val="001C5F5A"/>
    <w:rsid w:val="001C7835"/>
    <w:rsid w:val="001D2CFA"/>
    <w:rsid w:val="001D3876"/>
    <w:rsid w:val="001D4789"/>
    <w:rsid w:val="001D5C06"/>
    <w:rsid w:val="001E0233"/>
    <w:rsid w:val="001E06FC"/>
    <w:rsid w:val="001E1468"/>
    <w:rsid w:val="001E1AB8"/>
    <w:rsid w:val="001E3E3B"/>
    <w:rsid w:val="001E4A63"/>
    <w:rsid w:val="001E7402"/>
    <w:rsid w:val="001E753C"/>
    <w:rsid w:val="001F0465"/>
    <w:rsid w:val="001F0833"/>
    <w:rsid w:val="001F13C1"/>
    <w:rsid w:val="001F446D"/>
    <w:rsid w:val="001F4E4A"/>
    <w:rsid w:val="001F60D8"/>
    <w:rsid w:val="001F648F"/>
    <w:rsid w:val="00200306"/>
    <w:rsid w:val="002020E6"/>
    <w:rsid w:val="00202149"/>
    <w:rsid w:val="002025DB"/>
    <w:rsid w:val="00202A73"/>
    <w:rsid w:val="0020662C"/>
    <w:rsid w:val="00206BA0"/>
    <w:rsid w:val="0020726C"/>
    <w:rsid w:val="002114B1"/>
    <w:rsid w:val="00213F81"/>
    <w:rsid w:val="0021481B"/>
    <w:rsid w:val="00214DCC"/>
    <w:rsid w:val="00215375"/>
    <w:rsid w:val="002172DF"/>
    <w:rsid w:val="00217350"/>
    <w:rsid w:val="002202E6"/>
    <w:rsid w:val="00220D9C"/>
    <w:rsid w:val="0022119E"/>
    <w:rsid w:val="00221266"/>
    <w:rsid w:val="002216E2"/>
    <w:rsid w:val="00221AB7"/>
    <w:rsid w:val="0022205D"/>
    <w:rsid w:val="00222B81"/>
    <w:rsid w:val="00223755"/>
    <w:rsid w:val="00224FEB"/>
    <w:rsid w:val="00225378"/>
    <w:rsid w:val="002255DF"/>
    <w:rsid w:val="0022574B"/>
    <w:rsid w:val="0023052D"/>
    <w:rsid w:val="00230670"/>
    <w:rsid w:val="0023278E"/>
    <w:rsid w:val="00234AAC"/>
    <w:rsid w:val="00235B1D"/>
    <w:rsid w:val="00235F6C"/>
    <w:rsid w:val="00236FAD"/>
    <w:rsid w:val="0023750C"/>
    <w:rsid w:val="0024129C"/>
    <w:rsid w:val="00241EBF"/>
    <w:rsid w:val="00242797"/>
    <w:rsid w:val="002437D8"/>
    <w:rsid w:val="00245993"/>
    <w:rsid w:val="00246435"/>
    <w:rsid w:val="00246BCF"/>
    <w:rsid w:val="00246C67"/>
    <w:rsid w:val="00250F78"/>
    <w:rsid w:val="00252B8B"/>
    <w:rsid w:val="00260B75"/>
    <w:rsid w:val="002639FD"/>
    <w:rsid w:val="002674FF"/>
    <w:rsid w:val="00270834"/>
    <w:rsid w:val="00272612"/>
    <w:rsid w:val="00272A84"/>
    <w:rsid w:val="0027344F"/>
    <w:rsid w:val="00273670"/>
    <w:rsid w:val="002744CC"/>
    <w:rsid w:val="00275336"/>
    <w:rsid w:val="00275BF6"/>
    <w:rsid w:val="00275FFB"/>
    <w:rsid w:val="002771C3"/>
    <w:rsid w:val="0028035C"/>
    <w:rsid w:val="00280B46"/>
    <w:rsid w:val="002812DA"/>
    <w:rsid w:val="002814E6"/>
    <w:rsid w:val="0028270E"/>
    <w:rsid w:val="00282DEB"/>
    <w:rsid w:val="00284B97"/>
    <w:rsid w:val="0028508B"/>
    <w:rsid w:val="00286126"/>
    <w:rsid w:val="002865F7"/>
    <w:rsid w:val="0028752A"/>
    <w:rsid w:val="00287EEF"/>
    <w:rsid w:val="0029120A"/>
    <w:rsid w:val="002933E7"/>
    <w:rsid w:val="0029388F"/>
    <w:rsid w:val="00295B4C"/>
    <w:rsid w:val="00296A6A"/>
    <w:rsid w:val="00297BD7"/>
    <w:rsid w:val="00297DFC"/>
    <w:rsid w:val="002A095B"/>
    <w:rsid w:val="002A0F4C"/>
    <w:rsid w:val="002A14E1"/>
    <w:rsid w:val="002A2BFE"/>
    <w:rsid w:val="002A4B0B"/>
    <w:rsid w:val="002A4C42"/>
    <w:rsid w:val="002A53B7"/>
    <w:rsid w:val="002A6791"/>
    <w:rsid w:val="002B0409"/>
    <w:rsid w:val="002B145E"/>
    <w:rsid w:val="002B211C"/>
    <w:rsid w:val="002B251E"/>
    <w:rsid w:val="002B4BF5"/>
    <w:rsid w:val="002B6593"/>
    <w:rsid w:val="002B700B"/>
    <w:rsid w:val="002C2645"/>
    <w:rsid w:val="002C579B"/>
    <w:rsid w:val="002C5A00"/>
    <w:rsid w:val="002C7231"/>
    <w:rsid w:val="002D015E"/>
    <w:rsid w:val="002D1168"/>
    <w:rsid w:val="002D16FE"/>
    <w:rsid w:val="002D1D27"/>
    <w:rsid w:val="002D24FF"/>
    <w:rsid w:val="002D30DC"/>
    <w:rsid w:val="002D3359"/>
    <w:rsid w:val="002D39B1"/>
    <w:rsid w:val="002D4D99"/>
    <w:rsid w:val="002D7696"/>
    <w:rsid w:val="002E025F"/>
    <w:rsid w:val="002E0611"/>
    <w:rsid w:val="002E169B"/>
    <w:rsid w:val="002E3729"/>
    <w:rsid w:val="002E548A"/>
    <w:rsid w:val="002E598E"/>
    <w:rsid w:val="002E5C55"/>
    <w:rsid w:val="002E5D6E"/>
    <w:rsid w:val="002E7E81"/>
    <w:rsid w:val="002F107E"/>
    <w:rsid w:val="002F13EA"/>
    <w:rsid w:val="002F1E1E"/>
    <w:rsid w:val="002F21C7"/>
    <w:rsid w:val="002F281B"/>
    <w:rsid w:val="002F4F25"/>
    <w:rsid w:val="002F630E"/>
    <w:rsid w:val="002F7BFC"/>
    <w:rsid w:val="00300E5F"/>
    <w:rsid w:val="00302DC6"/>
    <w:rsid w:val="003032E9"/>
    <w:rsid w:val="00304336"/>
    <w:rsid w:val="0030475E"/>
    <w:rsid w:val="00305171"/>
    <w:rsid w:val="003055E4"/>
    <w:rsid w:val="00307255"/>
    <w:rsid w:val="00307ED6"/>
    <w:rsid w:val="00311665"/>
    <w:rsid w:val="003118CD"/>
    <w:rsid w:val="00312ADE"/>
    <w:rsid w:val="00313D0F"/>
    <w:rsid w:val="003141B3"/>
    <w:rsid w:val="00314246"/>
    <w:rsid w:val="0031539C"/>
    <w:rsid w:val="0032407C"/>
    <w:rsid w:val="00327417"/>
    <w:rsid w:val="00327C68"/>
    <w:rsid w:val="003300C8"/>
    <w:rsid w:val="00331298"/>
    <w:rsid w:val="003326FA"/>
    <w:rsid w:val="00333597"/>
    <w:rsid w:val="00336730"/>
    <w:rsid w:val="00336E82"/>
    <w:rsid w:val="00340406"/>
    <w:rsid w:val="00340A76"/>
    <w:rsid w:val="00340AEB"/>
    <w:rsid w:val="0034213F"/>
    <w:rsid w:val="00342DD1"/>
    <w:rsid w:val="00343667"/>
    <w:rsid w:val="00344CCD"/>
    <w:rsid w:val="0034680A"/>
    <w:rsid w:val="00350934"/>
    <w:rsid w:val="00350F63"/>
    <w:rsid w:val="0035256B"/>
    <w:rsid w:val="00355121"/>
    <w:rsid w:val="00355964"/>
    <w:rsid w:val="00355AEE"/>
    <w:rsid w:val="0036145F"/>
    <w:rsid w:val="00361C2D"/>
    <w:rsid w:val="003634F3"/>
    <w:rsid w:val="00363FF8"/>
    <w:rsid w:val="00365786"/>
    <w:rsid w:val="00365D81"/>
    <w:rsid w:val="0036609E"/>
    <w:rsid w:val="003660CE"/>
    <w:rsid w:val="00366299"/>
    <w:rsid w:val="00370608"/>
    <w:rsid w:val="0037084D"/>
    <w:rsid w:val="003716D5"/>
    <w:rsid w:val="003728FC"/>
    <w:rsid w:val="00372A13"/>
    <w:rsid w:val="003735CC"/>
    <w:rsid w:val="00373AE4"/>
    <w:rsid w:val="003755DE"/>
    <w:rsid w:val="00375980"/>
    <w:rsid w:val="00376E1B"/>
    <w:rsid w:val="0037721D"/>
    <w:rsid w:val="003808A2"/>
    <w:rsid w:val="0038102A"/>
    <w:rsid w:val="003816C4"/>
    <w:rsid w:val="0038381C"/>
    <w:rsid w:val="00384EB9"/>
    <w:rsid w:val="0038681A"/>
    <w:rsid w:val="0038745A"/>
    <w:rsid w:val="00391872"/>
    <w:rsid w:val="00393D20"/>
    <w:rsid w:val="00393F89"/>
    <w:rsid w:val="003A065A"/>
    <w:rsid w:val="003A1DF2"/>
    <w:rsid w:val="003A3CCE"/>
    <w:rsid w:val="003A461A"/>
    <w:rsid w:val="003A4FB0"/>
    <w:rsid w:val="003A7303"/>
    <w:rsid w:val="003A7AC7"/>
    <w:rsid w:val="003A7C79"/>
    <w:rsid w:val="003B07EC"/>
    <w:rsid w:val="003B27B5"/>
    <w:rsid w:val="003B35C8"/>
    <w:rsid w:val="003B38F7"/>
    <w:rsid w:val="003B46F8"/>
    <w:rsid w:val="003B4D5B"/>
    <w:rsid w:val="003B4DC8"/>
    <w:rsid w:val="003B6A60"/>
    <w:rsid w:val="003B6C38"/>
    <w:rsid w:val="003C0170"/>
    <w:rsid w:val="003C0424"/>
    <w:rsid w:val="003C0729"/>
    <w:rsid w:val="003C11ED"/>
    <w:rsid w:val="003C3695"/>
    <w:rsid w:val="003C371A"/>
    <w:rsid w:val="003D07CA"/>
    <w:rsid w:val="003D0D1E"/>
    <w:rsid w:val="003D0DE8"/>
    <w:rsid w:val="003D23A3"/>
    <w:rsid w:val="003D2FBA"/>
    <w:rsid w:val="003D49CB"/>
    <w:rsid w:val="003D5856"/>
    <w:rsid w:val="003D5E42"/>
    <w:rsid w:val="003D6565"/>
    <w:rsid w:val="003E0E19"/>
    <w:rsid w:val="003E172A"/>
    <w:rsid w:val="003E2207"/>
    <w:rsid w:val="003E2611"/>
    <w:rsid w:val="003E34C1"/>
    <w:rsid w:val="003E3940"/>
    <w:rsid w:val="003E39CD"/>
    <w:rsid w:val="003E5CF7"/>
    <w:rsid w:val="003E6EEB"/>
    <w:rsid w:val="003E731D"/>
    <w:rsid w:val="003E76E1"/>
    <w:rsid w:val="003E7BE8"/>
    <w:rsid w:val="003F068B"/>
    <w:rsid w:val="003F153D"/>
    <w:rsid w:val="003F1D9D"/>
    <w:rsid w:val="003F344E"/>
    <w:rsid w:val="003F3766"/>
    <w:rsid w:val="003F39EE"/>
    <w:rsid w:val="0040056E"/>
    <w:rsid w:val="004034D7"/>
    <w:rsid w:val="00403B8E"/>
    <w:rsid w:val="00404E4F"/>
    <w:rsid w:val="00405355"/>
    <w:rsid w:val="00410404"/>
    <w:rsid w:val="0041051B"/>
    <w:rsid w:val="00411663"/>
    <w:rsid w:val="00411785"/>
    <w:rsid w:val="004129B6"/>
    <w:rsid w:val="0041331D"/>
    <w:rsid w:val="00414C7E"/>
    <w:rsid w:val="004168A7"/>
    <w:rsid w:val="004201C7"/>
    <w:rsid w:val="00421AF0"/>
    <w:rsid w:val="004232D2"/>
    <w:rsid w:val="0042339A"/>
    <w:rsid w:val="00424A6F"/>
    <w:rsid w:val="0042508F"/>
    <w:rsid w:val="00425260"/>
    <w:rsid w:val="00425415"/>
    <w:rsid w:val="0043074B"/>
    <w:rsid w:val="0043086D"/>
    <w:rsid w:val="00430B69"/>
    <w:rsid w:val="00431086"/>
    <w:rsid w:val="00431575"/>
    <w:rsid w:val="0043211E"/>
    <w:rsid w:val="00433E53"/>
    <w:rsid w:val="004365E7"/>
    <w:rsid w:val="004375E9"/>
    <w:rsid w:val="0044050E"/>
    <w:rsid w:val="0044056A"/>
    <w:rsid w:val="00440EB3"/>
    <w:rsid w:val="004412EE"/>
    <w:rsid w:val="004431BE"/>
    <w:rsid w:val="004432DC"/>
    <w:rsid w:val="00443AAD"/>
    <w:rsid w:val="004469DC"/>
    <w:rsid w:val="00450EC6"/>
    <w:rsid w:val="00451473"/>
    <w:rsid w:val="004518F5"/>
    <w:rsid w:val="004519C8"/>
    <w:rsid w:val="00452FCD"/>
    <w:rsid w:val="00453232"/>
    <w:rsid w:val="00454493"/>
    <w:rsid w:val="00456A6D"/>
    <w:rsid w:val="0045702E"/>
    <w:rsid w:val="004574A6"/>
    <w:rsid w:val="004604C9"/>
    <w:rsid w:val="00460EBD"/>
    <w:rsid w:val="00461FFF"/>
    <w:rsid w:val="004621C2"/>
    <w:rsid w:val="004635FD"/>
    <w:rsid w:val="00464E0C"/>
    <w:rsid w:val="00465781"/>
    <w:rsid w:val="00466A84"/>
    <w:rsid w:val="00467109"/>
    <w:rsid w:val="0047117B"/>
    <w:rsid w:val="00472915"/>
    <w:rsid w:val="00472CDA"/>
    <w:rsid w:val="004733F9"/>
    <w:rsid w:val="0047412C"/>
    <w:rsid w:val="004741D1"/>
    <w:rsid w:val="0047476B"/>
    <w:rsid w:val="004751C8"/>
    <w:rsid w:val="00475811"/>
    <w:rsid w:val="00476374"/>
    <w:rsid w:val="00476F12"/>
    <w:rsid w:val="004777C0"/>
    <w:rsid w:val="0048101C"/>
    <w:rsid w:val="004825D0"/>
    <w:rsid w:val="004834B8"/>
    <w:rsid w:val="00483EA3"/>
    <w:rsid w:val="00486668"/>
    <w:rsid w:val="0049296F"/>
    <w:rsid w:val="00494903"/>
    <w:rsid w:val="00495FE0"/>
    <w:rsid w:val="00496EC5"/>
    <w:rsid w:val="004A0CF2"/>
    <w:rsid w:val="004A5A4E"/>
    <w:rsid w:val="004A5EFF"/>
    <w:rsid w:val="004A6195"/>
    <w:rsid w:val="004A67FB"/>
    <w:rsid w:val="004B0F45"/>
    <w:rsid w:val="004B15BE"/>
    <w:rsid w:val="004B1E67"/>
    <w:rsid w:val="004B220B"/>
    <w:rsid w:val="004B282F"/>
    <w:rsid w:val="004B525B"/>
    <w:rsid w:val="004B609E"/>
    <w:rsid w:val="004B620D"/>
    <w:rsid w:val="004B63EE"/>
    <w:rsid w:val="004B77C3"/>
    <w:rsid w:val="004B7C9A"/>
    <w:rsid w:val="004C08FA"/>
    <w:rsid w:val="004C113B"/>
    <w:rsid w:val="004C1B8D"/>
    <w:rsid w:val="004C2A05"/>
    <w:rsid w:val="004C2F05"/>
    <w:rsid w:val="004C32AF"/>
    <w:rsid w:val="004C5318"/>
    <w:rsid w:val="004C5824"/>
    <w:rsid w:val="004C6EDF"/>
    <w:rsid w:val="004D1B84"/>
    <w:rsid w:val="004D1EA4"/>
    <w:rsid w:val="004D2299"/>
    <w:rsid w:val="004E02A6"/>
    <w:rsid w:val="004E0833"/>
    <w:rsid w:val="004E1A1C"/>
    <w:rsid w:val="004E28C6"/>
    <w:rsid w:val="004E306E"/>
    <w:rsid w:val="004E422C"/>
    <w:rsid w:val="004E4625"/>
    <w:rsid w:val="004E6BEB"/>
    <w:rsid w:val="004F138F"/>
    <w:rsid w:val="004F1759"/>
    <w:rsid w:val="004F2D2B"/>
    <w:rsid w:val="004F42F5"/>
    <w:rsid w:val="004F55EC"/>
    <w:rsid w:val="004F57C2"/>
    <w:rsid w:val="004F78E5"/>
    <w:rsid w:val="00502733"/>
    <w:rsid w:val="00502D97"/>
    <w:rsid w:val="00503C16"/>
    <w:rsid w:val="00506400"/>
    <w:rsid w:val="0050646D"/>
    <w:rsid w:val="0050670B"/>
    <w:rsid w:val="00507294"/>
    <w:rsid w:val="005100C4"/>
    <w:rsid w:val="005108F2"/>
    <w:rsid w:val="00510A68"/>
    <w:rsid w:val="00510C7E"/>
    <w:rsid w:val="00510F2A"/>
    <w:rsid w:val="00511377"/>
    <w:rsid w:val="00513D7D"/>
    <w:rsid w:val="005141E8"/>
    <w:rsid w:val="00515F48"/>
    <w:rsid w:val="005165D9"/>
    <w:rsid w:val="0051777F"/>
    <w:rsid w:val="00517C08"/>
    <w:rsid w:val="00520AE1"/>
    <w:rsid w:val="00520EE7"/>
    <w:rsid w:val="00521BCC"/>
    <w:rsid w:val="0052457F"/>
    <w:rsid w:val="005250C0"/>
    <w:rsid w:val="0052526E"/>
    <w:rsid w:val="005261CF"/>
    <w:rsid w:val="00526353"/>
    <w:rsid w:val="00526950"/>
    <w:rsid w:val="00526B1A"/>
    <w:rsid w:val="00527841"/>
    <w:rsid w:val="0053153F"/>
    <w:rsid w:val="00531D71"/>
    <w:rsid w:val="00531ECE"/>
    <w:rsid w:val="005326FB"/>
    <w:rsid w:val="00532972"/>
    <w:rsid w:val="005334A5"/>
    <w:rsid w:val="00534CAB"/>
    <w:rsid w:val="00535426"/>
    <w:rsid w:val="00535E65"/>
    <w:rsid w:val="00535EBA"/>
    <w:rsid w:val="005371E5"/>
    <w:rsid w:val="00537571"/>
    <w:rsid w:val="00540FB4"/>
    <w:rsid w:val="005422A0"/>
    <w:rsid w:val="00542E9A"/>
    <w:rsid w:val="0054410D"/>
    <w:rsid w:val="00545CB9"/>
    <w:rsid w:val="005462C6"/>
    <w:rsid w:val="005462D5"/>
    <w:rsid w:val="00547649"/>
    <w:rsid w:val="00550363"/>
    <w:rsid w:val="0055078D"/>
    <w:rsid w:val="00550C99"/>
    <w:rsid w:val="00550D11"/>
    <w:rsid w:val="00553413"/>
    <w:rsid w:val="005557E5"/>
    <w:rsid w:val="00555841"/>
    <w:rsid w:val="005559E4"/>
    <w:rsid w:val="00555DC0"/>
    <w:rsid w:val="00556A66"/>
    <w:rsid w:val="00560738"/>
    <w:rsid w:val="0056075A"/>
    <w:rsid w:val="00561CFB"/>
    <w:rsid w:val="005635DC"/>
    <w:rsid w:val="00565FAC"/>
    <w:rsid w:val="00566779"/>
    <w:rsid w:val="00567CD3"/>
    <w:rsid w:val="00567F1C"/>
    <w:rsid w:val="005705C0"/>
    <w:rsid w:val="005705E9"/>
    <w:rsid w:val="00573E39"/>
    <w:rsid w:val="00574483"/>
    <w:rsid w:val="0057616F"/>
    <w:rsid w:val="00576A98"/>
    <w:rsid w:val="005773E7"/>
    <w:rsid w:val="00580140"/>
    <w:rsid w:val="0058369E"/>
    <w:rsid w:val="005842FC"/>
    <w:rsid w:val="00584A7B"/>
    <w:rsid w:val="00586170"/>
    <w:rsid w:val="00586704"/>
    <w:rsid w:val="00587331"/>
    <w:rsid w:val="00590568"/>
    <w:rsid w:val="0059085E"/>
    <w:rsid w:val="00590B95"/>
    <w:rsid w:val="0059201E"/>
    <w:rsid w:val="005922B0"/>
    <w:rsid w:val="00593314"/>
    <w:rsid w:val="005933A6"/>
    <w:rsid w:val="00594496"/>
    <w:rsid w:val="00594739"/>
    <w:rsid w:val="00597B3C"/>
    <w:rsid w:val="005A32E2"/>
    <w:rsid w:val="005A4A81"/>
    <w:rsid w:val="005A65DE"/>
    <w:rsid w:val="005A6BC4"/>
    <w:rsid w:val="005A7E37"/>
    <w:rsid w:val="005B0101"/>
    <w:rsid w:val="005B10B8"/>
    <w:rsid w:val="005B2C57"/>
    <w:rsid w:val="005B36D2"/>
    <w:rsid w:val="005B5442"/>
    <w:rsid w:val="005C0EBB"/>
    <w:rsid w:val="005C1B98"/>
    <w:rsid w:val="005C3F3E"/>
    <w:rsid w:val="005C3FCC"/>
    <w:rsid w:val="005C6618"/>
    <w:rsid w:val="005C669B"/>
    <w:rsid w:val="005C7BF5"/>
    <w:rsid w:val="005D0FDA"/>
    <w:rsid w:val="005D2C9E"/>
    <w:rsid w:val="005D3E90"/>
    <w:rsid w:val="005E0F95"/>
    <w:rsid w:val="005E130B"/>
    <w:rsid w:val="005E29B4"/>
    <w:rsid w:val="005E7E49"/>
    <w:rsid w:val="005F14FF"/>
    <w:rsid w:val="005F1592"/>
    <w:rsid w:val="005F2011"/>
    <w:rsid w:val="005F2418"/>
    <w:rsid w:val="005F2854"/>
    <w:rsid w:val="005F3F15"/>
    <w:rsid w:val="005F602B"/>
    <w:rsid w:val="005F6405"/>
    <w:rsid w:val="005F640E"/>
    <w:rsid w:val="00600BEF"/>
    <w:rsid w:val="00602020"/>
    <w:rsid w:val="0060305C"/>
    <w:rsid w:val="00603FD5"/>
    <w:rsid w:val="00605183"/>
    <w:rsid w:val="00605A93"/>
    <w:rsid w:val="0060725A"/>
    <w:rsid w:val="0061054C"/>
    <w:rsid w:val="006110E9"/>
    <w:rsid w:val="00611218"/>
    <w:rsid w:val="006116C1"/>
    <w:rsid w:val="00611F50"/>
    <w:rsid w:val="0061256A"/>
    <w:rsid w:val="00613139"/>
    <w:rsid w:val="006133E2"/>
    <w:rsid w:val="00613CBB"/>
    <w:rsid w:val="00614E5D"/>
    <w:rsid w:val="00615629"/>
    <w:rsid w:val="00615CF1"/>
    <w:rsid w:val="00616DC8"/>
    <w:rsid w:val="00621732"/>
    <w:rsid w:val="006219F4"/>
    <w:rsid w:val="00623190"/>
    <w:rsid w:val="00624AAD"/>
    <w:rsid w:val="006253D4"/>
    <w:rsid w:val="00625AEB"/>
    <w:rsid w:val="00626A32"/>
    <w:rsid w:val="0063022F"/>
    <w:rsid w:val="00633CD8"/>
    <w:rsid w:val="00636117"/>
    <w:rsid w:val="0063697C"/>
    <w:rsid w:val="006369FE"/>
    <w:rsid w:val="00636E88"/>
    <w:rsid w:val="00637296"/>
    <w:rsid w:val="00641EFE"/>
    <w:rsid w:val="006427AC"/>
    <w:rsid w:val="00643ADD"/>
    <w:rsid w:val="00644FEC"/>
    <w:rsid w:val="00647A50"/>
    <w:rsid w:val="00647F33"/>
    <w:rsid w:val="00650765"/>
    <w:rsid w:val="00651636"/>
    <w:rsid w:val="00652E27"/>
    <w:rsid w:val="00653064"/>
    <w:rsid w:val="00653FA8"/>
    <w:rsid w:val="0065434D"/>
    <w:rsid w:val="00657E56"/>
    <w:rsid w:val="00660139"/>
    <w:rsid w:val="00660373"/>
    <w:rsid w:val="00661D5B"/>
    <w:rsid w:val="00662765"/>
    <w:rsid w:val="00664A80"/>
    <w:rsid w:val="00664D99"/>
    <w:rsid w:val="00665124"/>
    <w:rsid w:val="0066633C"/>
    <w:rsid w:val="00666607"/>
    <w:rsid w:val="006666F2"/>
    <w:rsid w:val="00667953"/>
    <w:rsid w:val="0067034A"/>
    <w:rsid w:val="006720CF"/>
    <w:rsid w:val="006722EE"/>
    <w:rsid w:val="00673017"/>
    <w:rsid w:val="00673243"/>
    <w:rsid w:val="00674DF6"/>
    <w:rsid w:val="006758AA"/>
    <w:rsid w:val="00675CF2"/>
    <w:rsid w:val="00676135"/>
    <w:rsid w:val="00677695"/>
    <w:rsid w:val="00677ED2"/>
    <w:rsid w:val="0068029F"/>
    <w:rsid w:val="00680A62"/>
    <w:rsid w:val="00681726"/>
    <w:rsid w:val="00683E7D"/>
    <w:rsid w:val="00684DFF"/>
    <w:rsid w:val="006861F2"/>
    <w:rsid w:val="0068724F"/>
    <w:rsid w:val="006872E8"/>
    <w:rsid w:val="00687847"/>
    <w:rsid w:val="00692184"/>
    <w:rsid w:val="00692F01"/>
    <w:rsid w:val="00692F67"/>
    <w:rsid w:val="006942C1"/>
    <w:rsid w:val="00694373"/>
    <w:rsid w:val="0069451A"/>
    <w:rsid w:val="00694FF9"/>
    <w:rsid w:val="006951C8"/>
    <w:rsid w:val="006960AF"/>
    <w:rsid w:val="006A0606"/>
    <w:rsid w:val="006A1DEF"/>
    <w:rsid w:val="006A2525"/>
    <w:rsid w:val="006A2651"/>
    <w:rsid w:val="006A4CEE"/>
    <w:rsid w:val="006A6DB6"/>
    <w:rsid w:val="006B0C26"/>
    <w:rsid w:val="006B21A1"/>
    <w:rsid w:val="006B2360"/>
    <w:rsid w:val="006B2DBB"/>
    <w:rsid w:val="006B6620"/>
    <w:rsid w:val="006B7424"/>
    <w:rsid w:val="006B7450"/>
    <w:rsid w:val="006C0ED6"/>
    <w:rsid w:val="006C137C"/>
    <w:rsid w:val="006C2537"/>
    <w:rsid w:val="006C31AA"/>
    <w:rsid w:val="006C4AF4"/>
    <w:rsid w:val="006C4F3D"/>
    <w:rsid w:val="006C5D61"/>
    <w:rsid w:val="006C6385"/>
    <w:rsid w:val="006D2F77"/>
    <w:rsid w:val="006D3A6F"/>
    <w:rsid w:val="006D3F2F"/>
    <w:rsid w:val="006D41E8"/>
    <w:rsid w:val="006D4303"/>
    <w:rsid w:val="006E0C4E"/>
    <w:rsid w:val="006E140A"/>
    <w:rsid w:val="006E2F63"/>
    <w:rsid w:val="006E3061"/>
    <w:rsid w:val="006E3536"/>
    <w:rsid w:val="006E426C"/>
    <w:rsid w:val="006E5109"/>
    <w:rsid w:val="006E64ED"/>
    <w:rsid w:val="006E6CBF"/>
    <w:rsid w:val="006E7094"/>
    <w:rsid w:val="006F0308"/>
    <w:rsid w:val="006F0A7B"/>
    <w:rsid w:val="006F1240"/>
    <w:rsid w:val="006F13EC"/>
    <w:rsid w:val="006F215B"/>
    <w:rsid w:val="006F429D"/>
    <w:rsid w:val="006F5C8B"/>
    <w:rsid w:val="006F60ED"/>
    <w:rsid w:val="006F7B76"/>
    <w:rsid w:val="007002A3"/>
    <w:rsid w:val="007030AE"/>
    <w:rsid w:val="007045AC"/>
    <w:rsid w:val="007048BD"/>
    <w:rsid w:val="00706061"/>
    <w:rsid w:val="007074FE"/>
    <w:rsid w:val="00710AAE"/>
    <w:rsid w:val="00713A85"/>
    <w:rsid w:val="00714488"/>
    <w:rsid w:val="0071469B"/>
    <w:rsid w:val="00714E23"/>
    <w:rsid w:val="0071645A"/>
    <w:rsid w:val="0071685D"/>
    <w:rsid w:val="007174AF"/>
    <w:rsid w:val="00720EAF"/>
    <w:rsid w:val="007219A2"/>
    <w:rsid w:val="007225B0"/>
    <w:rsid w:val="00727DE8"/>
    <w:rsid w:val="00732790"/>
    <w:rsid w:val="007337AE"/>
    <w:rsid w:val="007350F0"/>
    <w:rsid w:val="00735537"/>
    <w:rsid w:val="0073688B"/>
    <w:rsid w:val="00737EFB"/>
    <w:rsid w:val="00740CB2"/>
    <w:rsid w:val="00741529"/>
    <w:rsid w:val="007421D4"/>
    <w:rsid w:val="0074492B"/>
    <w:rsid w:val="00747604"/>
    <w:rsid w:val="00750420"/>
    <w:rsid w:val="00752629"/>
    <w:rsid w:val="007530B4"/>
    <w:rsid w:val="0075452F"/>
    <w:rsid w:val="00757340"/>
    <w:rsid w:val="00763C8A"/>
    <w:rsid w:val="00765FA6"/>
    <w:rsid w:val="00766995"/>
    <w:rsid w:val="00767B3F"/>
    <w:rsid w:val="0077054D"/>
    <w:rsid w:val="00771695"/>
    <w:rsid w:val="00772353"/>
    <w:rsid w:val="00773571"/>
    <w:rsid w:val="00774585"/>
    <w:rsid w:val="007764E1"/>
    <w:rsid w:val="00776EEF"/>
    <w:rsid w:val="00780D89"/>
    <w:rsid w:val="00782399"/>
    <w:rsid w:val="007823B5"/>
    <w:rsid w:val="00783CB5"/>
    <w:rsid w:val="00783CF9"/>
    <w:rsid w:val="00783DB6"/>
    <w:rsid w:val="00784840"/>
    <w:rsid w:val="00784D31"/>
    <w:rsid w:val="0078588D"/>
    <w:rsid w:val="0078708F"/>
    <w:rsid w:val="007877B5"/>
    <w:rsid w:val="007878FB"/>
    <w:rsid w:val="00787AD3"/>
    <w:rsid w:val="00787E92"/>
    <w:rsid w:val="00790874"/>
    <w:rsid w:val="00790C3B"/>
    <w:rsid w:val="00790E98"/>
    <w:rsid w:val="00791F78"/>
    <w:rsid w:val="00792DEA"/>
    <w:rsid w:val="007958C5"/>
    <w:rsid w:val="00797115"/>
    <w:rsid w:val="007A0363"/>
    <w:rsid w:val="007A04D4"/>
    <w:rsid w:val="007A122F"/>
    <w:rsid w:val="007A40E2"/>
    <w:rsid w:val="007A510D"/>
    <w:rsid w:val="007A53D6"/>
    <w:rsid w:val="007A67D4"/>
    <w:rsid w:val="007B103E"/>
    <w:rsid w:val="007B1B4E"/>
    <w:rsid w:val="007B236D"/>
    <w:rsid w:val="007B29C4"/>
    <w:rsid w:val="007B45BC"/>
    <w:rsid w:val="007B6293"/>
    <w:rsid w:val="007B7D06"/>
    <w:rsid w:val="007C0479"/>
    <w:rsid w:val="007C1526"/>
    <w:rsid w:val="007C3911"/>
    <w:rsid w:val="007C3A97"/>
    <w:rsid w:val="007C7468"/>
    <w:rsid w:val="007C7A0D"/>
    <w:rsid w:val="007C7AAC"/>
    <w:rsid w:val="007C7AD3"/>
    <w:rsid w:val="007D163A"/>
    <w:rsid w:val="007D1CF8"/>
    <w:rsid w:val="007D29F3"/>
    <w:rsid w:val="007D5E93"/>
    <w:rsid w:val="007D6FF8"/>
    <w:rsid w:val="007D7F2C"/>
    <w:rsid w:val="007E30F0"/>
    <w:rsid w:val="007E5011"/>
    <w:rsid w:val="007E5A2C"/>
    <w:rsid w:val="007E5E6B"/>
    <w:rsid w:val="007F249B"/>
    <w:rsid w:val="007F29CE"/>
    <w:rsid w:val="007F3D53"/>
    <w:rsid w:val="007F48DB"/>
    <w:rsid w:val="007F5647"/>
    <w:rsid w:val="007F5F16"/>
    <w:rsid w:val="007F647C"/>
    <w:rsid w:val="007F6EF2"/>
    <w:rsid w:val="007F7B38"/>
    <w:rsid w:val="00801D9E"/>
    <w:rsid w:val="0080212F"/>
    <w:rsid w:val="008050B2"/>
    <w:rsid w:val="00810920"/>
    <w:rsid w:val="00810DCD"/>
    <w:rsid w:val="008143A9"/>
    <w:rsid w:val="0081533C"/>
    <w:rsid w:val="0081673B"/>
    <w:rsid w:val="00816F25"/>
    <w:rsid w:val="00817CD7"/>
    <w:rsid w:val="00820094"/>
    <w:rsid w:val="00823CCF"/>
    <w:rsid w:val="00824950"/>
    <w:rsid w:val="00825414"/>
    <w:rsid w:val="00826579"/>
    <w:rsid w:val="00826EE9"/>
    <w:rsid w:val="00831583"/>
    <w:rsid w:val="00832A08"/>
    <w:rsid w:val="00835950"/>
    <w:rsid w:val="00836669"/>
    <w:rsid w:val="0084026A"/>
    <w:rsid w:val="0084030D"/>
    <w:rsid w:val="0084085C"/>
    <w:rsid w:val="00842C29"/>
    <w:rsid w:val="00843657"/>
    <w:rsid w:val="008452F5"/>
    <w:rsid w:val="00846128"/>
    <w:rsid w:val="00846F8F"/>
    <w:rsid w:val="008472CB"/>
    <w:rsid w:val="0085137A"/>
    <w:rsid w:val="00851589"/>
    <w:rsid w:val="00851B7F"/>
    <w:rsid w:val="00853BBA"/>
    <w:rsid w:val="0085439B"/>
    <w:rsid w:val="0085453A"/>
    <w:rsid w:val="00857147"/>
    <w:rsid w:val="008575C0"/>
    <w:rsid w:val="00857FCE"/>
    <w:rsid w:val="00860309"/>
    <w:rsid w:val="00861725"/>
    <w:rsid w:val="008621D3"/>
    <w:rsid w:val="00864093"/>
    <w:rsid w:val="00864A94"/>
    <w:rsid w:val="00864C02"/>
    <w:rsid w:val="00864F57"/>
    <w:rsid w:val="008655C1"/>
    <w:rsid w:val="008714DE"/>
    <w:rsid w:val="00871B3A"/>
    <w:rsid w:val="00871DDF"/>
    <w:rsid w:val="0087226B"/>
    <w:rsid w:val="00873C3B"/>
    <w:rsid w:val="00873E91"/>
    <w:rsid w:val="008764D3"/>
    <w:rsid w:val="008771C7"/>
    <w:rsid w:val="00877990"/>
    <w:rsid w:val="00881393"/>
    <w:rsid w:val="00882033"/>
    <w:rsid w:val="0088413A"/>
    <w:rsid w:val="00885F24"/>
    <w:rsid w:val="00890F51"/>
    <w:rsid w:val="00892AF3"/>
    <w:rsid w:val="00892DAE"/>
    <w:rsid w:val="00893D1A"/>
    <w:rsid w:val="0089436D"/>
    <w:rsid w:val="00895FBF"/>
    <w:rsid w:val="00897C91"/>
    <w:rsid w:val="008A169E"/>
    <w:rsid w:val="008A186E"/>
    <w:rsid w:val="008A3B3C"/>
    <w:rsid w:val="008A42E1"/>
    <w:rsid w:val="008A4DDC"/>
    <w:rsid w:val="008A5682"/>
    <w:rsid w:val="008A5F31"/>
    <w:rsid w:val="008A6651"/>
    <w:rsid w:val="008A66C0"/>
    <w:rsid w:val="008A6FBC"/>
    <w:rsid w:val="008A7E90"/>
    <w:rsid w:val="008B05C3"/>
    <w:rsid w:val="008B11EE"/>
    <w:rsid w:val="008B1BA8"/>
    <w:rsid w:val="008B1C63"/>
    <w:rsid w:val="008B2DAC"/>
    <w:rsid w:val="008B3D76"/>
    <w:rsid w:val="008B4033"/>
    <w:rsid w:val="008B4965"/>
    <w:rsid w:val="008B4972"/>
    <w:rsid w:val="008B4D5B"/>
    <w:rsid w:val="008B54DC"/>
    <w:rsid w:val="008B6DAB"/>
    <w:rsid w:val="008B7251"/>
    <w:rsid w:val="008B78FD"/>
    <w:rsid w:val="008B7E88"/>
    <w:rsid w:val="008C022D"/>
    <w:rsid w:val="008C06F4"/>
    <w:rsid w:val="008C12D5"/>
    <w:rsid w:val="008C5325"/>
    <w:rsid w:val="008C547D"/>
    <w:rsid w:val="008C5F81"/>
    <w:rsid w:val="008D0347"/>
    <w:rsid w:val="008D1339"/>
    <w:rsid w:val="008D153C"/>
    <w:rsid w:val="008D1ABD"/>
    <w:rsid w:val="008D5E79"/>
    <w:rsid w:val="008D6D83"/>
    <w:rsid w:val="008E1060"/>
    <w:rsid w:val="008E162D"/>
    <w:rsid w:val="008E2093"/>
    <w:rsid w:val="008E20AC"/>
    <w:rsid w:val="008E2C15"/>
    <w:rsid w:val="008E4F54"/>
    <w:rsid w:val="008E6341"/>
    <w:rsid w:val="008E795B"/>
    <w:rsid w:val="008F0E18"/>
    <w:rsid w:val="008F109A"/>
    <w:rsid w:val="008F1D68"/>
    <w:rsid w:val="008F210E"/>
    <w:rsid w:val="008F2315"/>
    <w:rsid w:val="008F3838"/>
    <w:rsid w:val="008F3913"/>
    <w:rsid w:val="008F4DE6"/>
    <w:rsid w:val="008F569D"/>
    <w:rsid w:val="008F6A86"/>
    <w:rsid w:val="008F6F17"/>
    <w:rsid w:val="008F7AF1"/>
    <w:rsid w:val="00900951"/>
    <w:rsid w:val="009011D7"/>
    <w:rsid w:val="0090137A"/>
    <w:rsid w:val="00901AC9"/>
    <w:rsid w:val="009034E9"/>
    <w:rsid w:val="0090777B"/>
    <w:rsid w:val="00910711"/>
    <w:rsid w:val="009107C4"/>
    <w:rsid w:val="00911952"/>
    <w:rsid w:val="00912816"/>
    <w:rsid w:val="00913577"/>
    <w:rsid w:val="00917959"/>
    <w:rsid w:val="009208D4"/>
    <w:rsid w:val="00920C19"/>
    <w:rsid w:val="00920CF7"/>
    <w:rsid w:val="00921373"/>
    <w:rsid w:val="0092335B"/>
    <w:rsid w:val="009233B2"/>
    <w:rsid w:val="0092463E"/>
    <w:rsid w:val="009255E5"/>
    <w:rsid w:val="00925F6B"/>
    <w:rsid w:val="00926F3B"/>
    <w:rsid w:val="0092788B"/>
    <w:rsid w:val="00930147"/>
    <w:rsid w:val="00930E4D"/>
    <w:rsid w:val="00931A8E"/>
    <w:rsid w:val="0093216D"/>
    <w:rsid w:val="0093348D"/>
    <w:rsid w:val="00936068"/>
    <w:rsid w:val="00936C6A"/>
    <w:rsid w:val="00937AE0"/>
    <w:rsid w:val="0094026F"/>
    <w:rsid w:val="009411EE"/>
    <w:rsid w:val="009428B6"/>
    <w:rsid w:val="0094373C"/>
    <w:rsid w:val="00944B1A"/>
    <w:rsid w:val="00946E5B"/>
    <w:rsid w:val="009511D0"/>
    <w:rsid w:val="009517CC"/>
    <w:rsid w:val="00952E26"/>
    <w:rsid w:val="0095354F"/>
    <w:rsid w:val="00953B56"/>
    <w:rsid w:val="00954793"/>
    <w:rsid w:val="00954FFE"/>
    <w:rsid w:val="00956026"/>
    <w:rsid w:val="00956E40"/>
    <w:rsid w:val="0095725E"/>
    <w:rsid w:val="00960023"/>
    <w:rsid w:val="009604D7"/>
    <w:rsid w:val="00960A92"/>
    <w:rsid w:val="009615D4"/>
    <w:rsid w:val="00961C24"/>
    <w:rsid w:val="009621FC"/>
    <w:rsid w:val="00964647"/>
    <w:rsid w:val="0096614A"/>
    <w:rsid w:val="00966B2C"/>
    <w:rsid w:val="00967537"/>
    <w:rsid w:val="00967C9D"/>
    <w:rsid w:val="009706A8"/>
    <w:rsid w:val="00971071"/>
    <w:rsid w:val="009713E7"/>
    <w:rsid w:val="00971EF4"/>
    <w:rsid w:val="009743D6"/>
    <w:rsid w:val="00974677"/>
    <w:rsid w:val="0097517F"/>
    <w:rsid w:val="00977FC2"/>
    <w:rsid w:val="00981206"/>
    <w:rsid w:val="00983347"/>
    <w:rsid w:val="00985825"/>
    <w:rsid w:val="00987745"/>
    <w:rsid w:val="0098786E"/>
    <w:rsid w:val="00987CC3"/>
    <w:rsid w:val="00987FE3"/>
    <w:rsid w:val="00990128"/>
    <w:rsid w:val="009912CB"/>
    <w:rsid w:val="00991401"/>
    <w:rsid w:val="00992465"/>
    <w:rsid w:val="009928BD"/>
    <w:rsid w:val="009929E6"/>
    <w:rsid w:val="00992D44"/>
    <w:rsid w:val="00994A98"/>
    <w:rsid w:val="00995977"/>
    <w:rsid w:val="00997B0B"/>
    <w:rsid w:val="009A129C"/>
    <w:rsid w:val="009A2F17"/>
    <w:rsid w:val="009A40AB"/>
    <w:rsid w:val="009A4AA6"/>
    <w:rsid w:val="009A4C5B"/>
    <w:rsid w:val="009A69B0"/>
    <w:rsid w:val="009B152D"/>
    <w:rsid w:val="009B1613"/>
    <w:rsid w:val="009B21AB"/>
    <w:rsid w:val="009B292B"/>
    <w:rsid w:val="009B33FD"/>
    <w:rsid w:val="009B4854"/>
    <w:rsid w:val="009B7F65"/>
    <w:rsid w:val="009C13ED"/>
    <w:rsid w:val="009C2526"/>
    <w:rsid w:val="009C5A84"/>
    <w:rsid w:val="009C6BD1"/>
    <w:rsid w:val="009D09C1"/>
    <w:rsid w:val="009D24D4"/>
    <w:rsid w:val="009D24F5"/>
    <w:rsid w:val="009D3F89"/>
    <w:rsid w:val="009D4716"/>
    <w:rsid w:val="009D4EB5"/>
    <w:rsid w:val="009D5013"/>
    <w:rsid w:val="009D573F"/>
    <w:rsid w:val="009D5D9E"/>
    <w:rsid w:val="009D6794"/>
    <w:rsid w:val="009D6E8F"/>
    <w:rsid w:val="009E05DD"/>
    <w:rsid w:val="009E0FF9"/>
    <w:rsid w:val="009E29F0"/>
    <w:rsid w:val="009E33BA"/>
    <w:rsid w:val="009E3535"/>
    <w:rsid w:val="009E4D11"/>
    <w:rsid w:val="009E6264"/>
    <w:rsid w:val="009E6382"/>
    <w:rsid w:val="009E6D8C"/>
    <w:rsid w:val="009E6E4E"/>
    <w:rsid w:val="009F179E"/>
    <w:rsid w:val="009F3B43"/>
    <w:rsid w:val="009F50F6"/>
    <w:rsid w:val="009F5B30"/>
    <w:rsid w:val="009F7291"/>
    <w:rsid w:val="00A00011"/>
    <w:rsid w:val="00A0003E"/>
    <w:rsid w:val="00A015A6"/>
    <w:rsid w:val="00A03F2A"/>
    <w:rsid w:val="00A0712E"/>
    <w:rsid w:val="00A076FF"/>
    <w:rsid w:val="00A10E88"/>
    <w:rsid w:val="00A115BE"/>
    <w:rsid w:val="00A12E33"/>
    <w:rsid w:val="00A13664"/>
    <w:rsid w:val="00A140A3"/>
    <w:rsid w:val="00A141BC"/>
    <w:rsid w:val="00A14C55"/>
    <w:rsid w:val="00A15783"/>
    <w:rsid w:val="00A163A1"/>
    <w:rsid w:val="00A165A5"/>
    <w:rsid w:val="00A22F2D"/>
    <w:rsid w:val="00A24EF4"/>
    <w:rsid w:val="00A3178D"/>
    <w:rsid w:val="00A34C01"/>
    <w:rsid w:val="00A34C8B"/>
    <w:rsid w:val="00A351FD"/>
    <w:rsid w:val="00A361B1"/>
    <w:rsid w:val="00A36D09"/>
    <w:rsid w:val="00A37607"/>
    <w:rsid w:val="00A42744"/>
    <w:rsid w:val="00A44012"/>
    <w:rsid w:val="00A44278"/>
    <w:rsid w:val="00A44EE0"/>
    <w:rsid w:val="00A46165"/>
    <w:rsid w:val="00A46B41"/>
    <w:rsid w:val="00A46E36"/>
    <w:rsid w:val="00A47026"/>
    <w:rsid w:val="00A476EF"/>
    <w:rsid w:val="00A502FA"/>
    <w:rsid w:val="00A53086"/>
    <w:rsid w:val="00A5389C"/>
    <w:rsid w:val="00A53F5F"/>
    <w:rsid w:val="00A5408E"/>
    <w:rsid w:val="00A5578A"/>
    <w:rsid w:val="00A56035"/>
    <w:rsid w:val="00A56397"/>
    <w:rsid w:val="00A56603"/>
    <w:rsid w:val="00A56639"/>
    <w:rsid w:val="00A602E7"/>
    <w:rsid w:val="00A615DD"/>
    <w:rsid w:val="00A6529E"/>
    <w:rsid w:val="00A65C87"/>
    <w:rsid w:val="00A65E92"/>
    <w:rsid w:val="00A6611A"/>
    <w:rsid w:val="00A663F0"/>
    <w:rsid w:val="00A673D1"/>
    <w:rsid w:val="00A67A14"/>
    <w:rsid w:val="00A70374"/>
    <w:rsid w:val="00A71763"/>
    <w:rsid w:val="00A7411C"/>
    <w:rsid w:val="00A74BC6"/>
    <w:rsid w:val="00A76620"/>
    <w:rsid w:val="00A77ABB"/>
    <w:rsid w:val="00A77E82"/>
    <w:rsid w:val="00A81111"/>
    <w:rsid w:val="00A84FE2"/>
    <w:rsid w:val="00A85FBD"/>
    <w:rsid w:val="00A87BE0"/>
    <w:rsid w:val="00A90151"/>
    <w:rsid w:val="00A9022B"/>
    <w:rsid w:val="00A90943"/>
    <w:rsid w:val="00A91824"/>
    <w:rsid w:val="00A9359B"/>
    <w:rsid w:val="00A94528"/>
    <w:rsid w:val="00A94F04"/>
    <w:rsid w:val="00A978CC"/>
    <w:rsid w:val="00AA0704"/>
    <w:rsid w:val="00AA0738"/>
    <w:rsid w:val="00AA163B"/>
    <w:rsid w:val="00AA1863"/>
    <w:rsid w:val="00AA1DD2"/>
    <w:rsid w:val="00AA30D8"/>
    <w:rsid w:val="00AA341E"/>
    <w:rsid w:val="00AA379A"/>
    <w:rsid w:val="00AA3A50"/>
    <w:rsid w:val="00AA3DB2"/>
    <w:rsid w:val="00AA3F4A"/>
    <w:rsid w:val="00AA6DA5"/>
    <w:rsid w:val="00AA7D41"/>
    <w:rsid w:val="00AB17B4"/>
    <w:rsid w:val="00AB1E41"/>
    <w:rsid w:val="00AB1FB0"/>
    <w:rsid w:val="00AB2BDE"/>
    <w:rsid w:val="00AB3C2C"/>
    <w:rsid w:val="00AB515F"/>
    <w:rsid w:val="00AC0558"/>
    <w:rsid w:val="00AC0A47"/>
    <w:rsid w:val="00AC2451"/>
    <w:rsid w:val="00AC38C9"/>
    <w:rsid w:val="00AC41F0"/>
    <w:rsid w:val="00AC5BC3"/>
    <w:rsid w:val="00AC5C5C"/>
    <w:rsid w:val="00AC5E57"/>
    <w:rsid w:val="00AD07C8"/>
    <w:rsid w:val="00AD0B62"/>
    <w:rsid w:val="00AD26A8"/>
    <w:rsid w:val="00AD2A0B"/>
    <w:rsid w:val="00AD4977"/>
    <w:rsid w:val="00AD4B1E"/>
    <w:rsid w:val="00AD74D6"/>
    <w:rsid w:val="00AD7FBB"/>
    <w:rsid w:val="00AE2047"/>
    <w:rsid w:val="00AE2139"/>
    <w:rsid w:val="00AE234C"/>
    <w:rsid w:val="00AE2357"/>
    <w:rsid w:val="00AE7D96"/>
    <w:rsid w:val="00AF0F71"/>
    <w:rsid w:val="00AF32AC"/>
    <w:rsid w:val="00AF37DF"/>
    <w:rsid w:val="00AF4E44"/>
    <w:rsid w:val="00AF6962"/>
    <w:rsid w:val="00AF7374"/>
    <w:rsid w:val="00B008C5"/>
    <w:rsid w:val="00B0090E"/>
    <w:rsid w:val="00B00B3A"/>
    <w:rsid w:val="00B02069"/>
    <w:rsid w:val="00B023AF"/>
    <w:rsid w:val="00B02F80"/>
    <w:rsid w:val="00B032EA"/>
    <w:rsid w:val="00B070FD"/>
    <w:rsid w:val="00B100C6"/>
    <w:rsid w:val="00B12E33"/>
    <w:rsid w:val="00B12F7D"/>
    <w:rsid w:val="00B14775"/>
    <w:rsid w:val="00B1487A"/>
    <w:rsid w:val="00B14A06"/>
    <w:rsid w:val="00B15191"/>
    <w:rsid w:val="00B154A3"/>
    <w:rsid w:val="00B160AB"/>
    <w:rsid w:val="00B17A60"/>
    <w:rsid w:val="00B2028F"/>
    <w:rsid w:val="00B2065B"/>
    <w:rsid w:val="00B22330"/>
    <w:rsid w:val="00B235B0"/>
    <w:rsid w:val="00B23603"/>
    <w:rsid w:val="00B252B4"/>
    <w:rsid w:val="00B25CA7"/>
    <w:rsid w:val="00B27901"/>
    <w:rsid w:val="00B30A61"/>
    <w:rsid w:val="00B30A9F"/>
    <w:rsid w:val="00B32231"/>
    <w:rsid w:val="00B3270D"/>
    <w:rsid w:val="00B32D6C"/>
    <w:rsid w:val="00B33DAA"/>
    <w:rsid w:val="00B34BD0"/>
    <w:rsid w:val="00B36E43"/>
    <w:rsid w:val="00B3749D"/>
    <w:rsid w:val="00B40C01"/>
    <w:rsid w:val="00B418DE"/>
    <w:rsid w:val="00B41C57"/>
    <w:rsid w:val="00B41D3D"/>
    <w:rsid w:val="00B42EC9"/>
    <w:rsid w:val="00B42FF4"/>
    <w:rsid w:val="00B43952"/>
    <w:rsid w:val="00B440AC"/>
    <w:rsid w:val="00B45506"/>
    <w:rsid w:val="00B470C6"/>
    <w:rsid w:val="00B50AC3"/>
    <w:rsid w:val="00B50F42"/>
    <w:rsid w:val="00B54F8E"/>
    <w:rsid w:val="00B550CB"/>
    <w:rsid w:val="00B5721C"/>
    <w:rsid w:val="00B574D5"/>
    <w:rsid w:val="00B6038A"/>
    <w:rsid w:val="00B6060C"/>
    <w:rsid w:val="00B616FC"/>
    <w:rsid w:val="00B62243"/>
    <w:rsid w:val="00B626AA"/>
    <w:rsid w:val="00B62C33"/>
    <w:rsid w:val="00B63C30"/>
    <w:rsid w:val="00B64AC1"/>
    <w:rsid w:val="00B65DAA"/>
    <w:rsid w:val="00B66B2F"/>
    <w:rsid w:val="00B67041"/>
    <w:rsid w:val="00B67CAC"/>
    <w:rsid w:val="00B707D8"/>
    <w:rsid w:val="00B70C8E"/>
    <w:rsid w:val="00B713AD"/>
    <w:rsid w:val="00B72758"/>
    <w:rsid w:val="00B74F7F"/>
    <w:rsid w:val="00B75B08"/>
    <w:rsid w:val="00B773F4"/>
    <w:rsid w:val="00B80961"/>
    <w:rsid w:val="00B8216E"/>
    <w:rsid w:val="00B84C6C"/>
    <w:rsid w:val="00B8508F"/>
    <w:rsid w:val="00B85852"/>
    <w:rsid w:val="00B8664F"/>
    <w:rsid w:val="00B866FB"/>
    <w:rsid w:val="00B86A89"/>
    <w:rsid w:val="00B87859"/>
    <w:rsid w:val="00B91D47"/>
    <w:rsid w:val="00B928DA"/>
    <w:rsid w:val="00B94011"/>
    <w:rsid w:val="00B94757"/>
    <w:rsid w:val="00B94F1F"/>
    <w:rsid w:val="00B95333"/>
    <w:rsid w:val="00BA028D"/>
    <w:rsid w:val="00BA099B"/>
    <w:rsid w:val="00BA2850"/>
    <w:rsid w:val="00BA329D"/>
    <w:rsid w:val="00BA3CB8"/>
    <w:rsid w:val="00BA4D81"/>
    <w:rsid w:val="00BA5338"/>
    <w:rsid w:val="00BA716E"/>
    <w:rsid w:val="00BA7623"/>
    <w:rsid w:val="00BB033E"/>
    <w:rsid w:val="00BB18DA"/>
    <w:rsid w:val="00BB2A23"/>
    <w:rsid w:val="00BB3137"/>
    <w:rsid w:val="00BB45F8"/>
    <w:rsid w:val="00BB49E6"/>
    <w:rsid w:val="00BB7023"/>
    <w:rsid w:val="00BB76B9"/>
    <w:rsid w:val="00BB7D51"/>
    <w:rsid w:val="00BB7E75"/>
    <w:rsid w:val="00BC1EFB"/>
    <w:rsid w:val="00BC2741"/>
    <w:rsid w:val="00BC2982"/>
    <w:rsid w:val="00BC4E10"/>
    <w:rsid w:val="00BC56EB"/>
    <w:rsid w:val="00BC6265"/>
    <w:rsid w:val="00BC7CF0"/>
    <w:rsid w:val="00BD3768"/>
    <w:rsid w:val="00BD3F68"/>
    <w:rsid w:val="00BD7259"/>
    <w:rsid w:val="00BE0A29"/>
    <w:rsid w:val="00BE160A"/>
    <w:rsid w:val="00BE17AB"/>
    <w:rsid w:val="00BE1995"/>
    <w:rsid w:val="00BE1F9C"/>
    <w:rsid w:val="00BE28B0"/>
    <w:rsid w:val="00BE34A9"/>
    <w:rsid w:val="00BE6F34"/>
    <w:rsid w:val="00BE7B17"/>
    <w:rsid w:val="00BF2C01"/>
    <w:rsid w:val="00BF4413"/>
    <w:rsid w:val="00BF450E"/>
    <w:rsid w:val="00BF60FC"/>
    <w:rsid w:val="00BF65BD"/>
    <w:rsid w:val="00BF68C8"/>
    <w:rsid w:val="00C01E68"/>
    <w:rsid w:val="00C04638"/>
    <w:rsid w:val="00C055D9"/>
    <w:rsid w:val="00C0623A"/>
    <w:rsid w:val="00C06635"/>
    <w:rsid w:val="00C066A1"/>
    <w:rsid w:val="00C06BBC"/>
    <w:rsid w:val="00C11924"/>
    <w:rsid w:val="00C11FBB"/>
    <w:rsid w:val="00C132F1"/>
    <w:rsid w:val="00C13AFA"/>
    <w:rsid w:val="00C15BAA"/>
    <w:rsid w:val="00C17E09"/>
    <w:rsid w:val="00C200EA"/>
    <w:rsid w:val="00C2057B"/>
    <w:rsid w:val="00C2185F"/>
    <w:rsid w:val="00C220AD"/>
    <w:rsid w:val="00C22814"/>
    <w:rsid w:val="00C2392B"/>
    <w:rsid w:val="00C2485B"/>
    <w:rsid w:val="00C262AB"/>
    <w:rsid w:val="00C26C6D"/>
    <w:rsid w:val="00C3137D"/>
    <w:rsid w:val="00C326F9"/>
    <w:rsid w:val="00C327BC"/>
    <w:rsid w:val="00C32D23"/>
    <w:rsid w:val="00C3499E"/>
    <w:rsid w:val="00C34AC1"/>
    <w:rsid w:val="00C34F19"/>
    <w:rsid w:val="00C3520C"/>
    <w:rsid w:val="00C36C85"/>
    <w:rsid w:val="00C37891"/>
    <w:rsid w:val="00C37A29"/>
    <w:rsid w:val="00C40945"/>
    <w:rsid w:val="00C41B63"/>
    <w:rsid w:val="00C41E5F"/>
    <w:rsid w:val="00C42347"/>
    <w:rsid w:val="00C429F3"/>
    <w:rsid w:val="00C45081"/>
    <w:rsid w:val="00C45879"/>
    <w:rsid w:val="00C4592D"/>
    <w:rsid w:val="00C462FF"/>
    <w:rsid w:val="00C463B1"/>
    <w:rsid w:val="00C46858"/>
    <w:rsid w:val="00C47EB6"/>
    <w:rsid w:val="00C50CA0"/>
    <w:rsid w:val="00C51E40"/>
    <w:rsid w:val="00C54F1C"/>
    <w:rsid w:val="00C55704"/>
    <w:rsid w:val="00C57320"/>
    <w:rsid w:val="00C57A9D"/>
    <w:rsid w:val="00C6082E"/>
    <w:rsid w:val="00C60D31"/>
    <w:rsid w:val="00C613A0"/>
    <w:rsid w:val="00C6144E"/>
    <w:rsid w:val="00C6322E"/>
    <w:rsid w:val="00C632A8"/>
    <w:rsid w:val="00C635C9"/>
    <w:rsid w:val="00C6435F"/>
    <w:rsid w:val="00C66CB5"/>
    <w:rsid w:val="00C67945"/>
    <w:rsid w:val="00C70EFC"/>
    <w:rsid w:val="00C7125F"/>
    <w:rsid w:val="00C73499"/>
    <w:rsid w:val="00C76BBF"/>
    <w:rsid w:val="00C81B74"/>
    <w:rsid w:val="00C820B3"/>
    <w:rsid w:val="00C82BD9"/>
    <w:rsid w:val="00C83A14"/>
    <w:rsid w:val="00C843E2"/>
    <w:rsid w:val="00C84D04"/>
    <w:rsid w:val="00C84F98"/>
    <w:rsid w:val="00C852DE"/>
    <w:rsid w:val="00C86A9F"/>
    <w:rsid w:val="00C9119F"/>
    <w:rsid w:val="00C932F3"/>
    <w:rsid w:val="00C961B3"/>
    <w:rsid w:val="00C965FD"/>
    <w:rsid w:val="00C96B01"/>
    <w:rsid w:val="00C97293"/>
    <w:rsid w:val="00C97CE6"/>
    <w:rsid w:val="00CA15B0"/>
    <w:rsid w:val="00CA3F18"/>
    <w:rsid w:val="00CA4065"/>
    <w:rsid w:val="00CA41B8"/>
    <w:rsid w:val="00CA57BE"/>
    <w:rsid w:val="00CA740D"/>
    <w:rsid w:val="00CB0DD9"/>
    <w:rsid w:val="00CB1465"/>
    <w:rsid w:val="00CB20E4"/>
    <w:rsid w:val="00CB2BA7"/>
    <w:rsid w:val="00CB3629"/>
    <w:rsid w:val="00CB5415"/>
    <w:rsid w:val="00CB55B8"/>
    <w:rsid w:val="00CB5DA7"/>
    <w:rsid w:val="00CB726A"/>
    <w:rsid w:val="00CC03A2"/>
    <w:rsid w:val="00CC03E4"/>
    <w:rsid w:val="00CC28FB"/>
    <w:rsid w:val="00CC3697"/>
    <w:rsid w:val="00CC3D0E"/>
    <w:rsid w:val="00CC43CB"/>
    <w:rsid w:val="00CC4711"/>
    <w:rsid w:val="00CC4D42"/>
    <w:rsid w:val="00CC6183"/>
    <w:rsid w:val="00CC69F9"/>
    <w:rsid w:val="00CC7EA3"/>
    <w:rsid w:val="00CD00ED"/>
    <w:rsid w:val="00CD04AF"/>
    <w:rsid w:val="00CD0A48"/>
    <w:rsid w:val="00CD14FF"/>
    <w:rsid w:val="00CD32D0"/>
    <w:rsid w:val="00CD3834"/>
    <w:rsid w:val="00CD4314"/>
    <w:rsid w:val="00CD50F3"/>
    <w:rsid w:val="00CD5DE8"/>
    <w:rsid w:val="00CD61EB"/>
    <w:rsid w:val="00CD698A"/>
    <w:rsid w:val="00CE09BA"/>
    <w:rsid w:val="00CE1581"/>
    <w:rsid w:val="00CE2BCF"/>
    <w:rsid w:val="00CE348E"/>
    <w:rsid w:val="00CE4764"/>
    <w:rsid w:val="00CE4A64"/>
    <w:rsid w:val="00CE4B89"/>
    <w:rsid w:val="00CE62F5"/>
    <w:rsid w:val="00CE7B60"/>
    <w:rsid w:val="00CE7F6F"/>
    <w:rsid w:val="00CF02F0"/>
    <w:rsid w:val="00CF1943"/>
    <w:rsid w:val="00CF1DDA"/>
    <w:rsid w:val="00CF2A2B"/>
    <w:rsid w:val="00CF37FE"/>
    <w:rsid w:val="00CF6E71"/>
    <w:rsid w:val="00CF76FB"/>
    <w:rsid w:val="00CF7B2A"/>
    <w:rsid w:val="00D0098A"/>
    <w:rsid w:val="00D04850"/>
    <w:rsid w:val="00D05841"/>
    <w:rsid w:val="00D10D9C"/>
    <w:rsid w:val="00D13D2D"/>
    <w:rsid w:val="00D15C4F"/>
    <w:rsid w:val="00D16F74"/>
    <w:rsid w:val="00D2200D"/>
    <w:rsid w:val="00D2348B"/>
    <w:rsid w:val="00D23C60"/>
    <w:rsid w:val="00D24143"/>
    <w:rsid w:val="00D24D62"/>
    <w:rsid w:val="00D2586B"/>
    <w:rsid w:val="00D25C29"/>
    <w:rsid w:val="00D263F0"/>
    <w:rsid w:val="00D26799"/>
    <w:rsid w:val="00D2770B"/>
    <w:rsid w:val="00D30FD9"/>
    <w:rsid w:val="00D31163"/>
    <w:rsid w:val="00D32272"/>
    <w:rsid w:val="00D32AAA"/>
    <w:rsid w:val="00D344EC"/>
    <w:rsid w:val="00D34DC7"/>
    <w:rsid w:val="00D34F9D"/>
    <w:rsid w:val="00D35445"/>
    <w:rsid w:val="00D359BB"/>
    <w:rsid w:val="00D35D63"/>
    <w:rsid w:val="00D36AC6"/>
    <w:rsid w:val="00D40463"/>
    <w:rsid w:val="00D431C4"/>
    <w:rsid w:val="00D451F5"/>
    <w:rsid w:val="00D45A76"/>
    <w:rsid w:val="00D52B7A"/>
    <w:rsid w:val="00D53C8E"/>
    <w:rsid w:val="00D54DB7"/>
    <w:rsid w:val="00D56C89"/>
    <w:rsid w:val="00D57BB8"/>
    <w:rsid w:val="00D57C59"/>
    <w:rsid w:val="00D57F86"/>
    <w:rsid w:val="00D60649"/>
    <w:rsid w:val="00D61E88"/>
    <w:rsid w:val="00D62B11"/>
    <w:rsid w:val="00D64014"/>
    <w:rsid w:val="00D64660"/>
    <w:rsid w:val="00D67923"/>
    <w:rsid w:val="00D67F7E"/>
    <w:rsid w:val="00D71ACD"/>
    <w:rsid w:val="00D7321B"/>
    <w:rsid w:val="00D73CCD"/>
    <w:rsid w:val="00D80395"/>
    <w:rsid w:val="00D81FEF"/>
    <w:rsid w:val="00D830ED"/>
    <w:rsid w:val="00D83237"/>
    <w:rsid w:val="00D83923"/>
    <w:rsid w:val="00D84B80"/>
    <w:rsid w:val="00D851BE"/>
    <w:rsid w:val="00D871B1"/>
    <w:rsid w:val="00D92695"/>
    <w:rsid w:val="00D9341C"/>
    <w:rsid w:val="00D93BBA"/>
    <w:rsid w:val="00D9419D"/>
    <w:rsid w:val="00D94C7A"/>
    <w:rsid w:val="00D94C91"/>
    <w:rsid w:val="00D9637D"/>
    <w:rsid w:val="00D96D91"/>
    <w:rsid w:val="00D9726C"/>
    <w:rsid w:val="00D97315"/>
    <w:rsid w:val="00DA0E51"/>
    <w:rsid w:val="00DA18FC"/>
    <w:rsid w:val="00DA22F3"/>
    <w:rsid w:val="00DA2985"/>
    <w:rsid w:val="00DA4970"/>
    <w:rsid w:val="00DA568F"/>
    <w:rsid w:val="00DA60FB"/>
    <w:rsid w:val="00DA6875"/>
    <w:rsid w:val="00DA70A1"/>
    <w:rsid w:val="00DA7B5D"/>
    <w:rsid w:val="00DA7D55"/>
    <w:rsid w:val="00DB139F"/>
    <w:rsid w:val="00DB277F"/>
    <w:rsid w:val="00DB680C"/>
    <w:rsid w:val="00DB76A6"/>
    <w:rsid w:val="00DC0B04"/>
    <w:rsid w:val="00DC0D1D"/>
    <w:rsid w:val="00DC1F91"/>
    <w:rsid w:val="00DC54CB"/>
    <w:rsid w:val="00DC5A30"/>
    <w:rsid w:val="00DC6A59"/>
    <w:rsid w:val="00DC7B7D"/>
    <w:rsid w:val="00DD0E02"/>
    <w:rsid w:val="00DD1ED3"/>
    <w:rsid w:val="00DD20C7"/>
    <w:rsid w:val="00DD2629"/>
    <w:rsid w:val="00DD2CAE"/>
    <w:rsid w:val="00DD317C"/>
    <w:rsid w:val="00DD41FD"/>
    <w:rsid w:val="00DD6480"/>
    <w:rsid w:val="00DD73C2"/>
    <w:rsid w:val="00DE0F61"/>
    <w:rsid w:val="00DE13A5"/>
    <w:rsid w:val="00DE2B9E"/>
    <w:rsid w:val="00DE34A8"/>
    <w:rsid w:val="00DE4105"/>
    <w:rsid w:val="00DE48CE"/>
    <w:rsid w:val="00DF0990"/>
    <w:rsid w:val="00DF1617"/>
    <w:rsid w:val="00DF1DC7"/>
    <w:rsid w:val="00DF2E8F"/>
    <w:rsid w:val="00DF38A5"/>
    <w:rsid w:val="00DF3BC9"/>
    <w:rsid w:val="00DF4ABF"/>
    <w:rsid w:val="00DF4E3E"/>
    <w:rsid w:val="00DF6CEB"/>
    <w:rsid w:val="00E0050C"/>
    <w:rsid w:val="00E01101"/>
    <w:rsid w:val="00E0148C"/>
    <w:rsid w:val="00E015EA"/>
    <w:rsid w:val="00E02F39"/>
    <w:rsid w:val="00E0453D"/>
    <w:rsid w:val="00E05FA6"/>
    <w:rsid w:val="00E07406"/>
    <w:rsid w:val="00E0751B"/>
    <w:rsid w:val="00E10AA0"/>
    <w:rsid w:val="00E124D2"/>
    <w:rsid w:val="00E1514A"/>
    <w:rsid w:val="00E162CD"/>
    <w:rsid w:val="00E205AD"/>
    <w:rsid w:val="00E23553"/>
    <w:rsid w:val="00E24380"/>
    <w:rsid w:val="00E247C2"/>
    <w:rsid w:val="00E24BC4"/>
    <w:rsid w:val="00E25474"/>
    <w:rsid w:val="00E26EB7"/>
    <w:rsid w:val="00E276CC"/>
    <w:rsid w:val="00E30E6F"/>
    <w:rsid w:val="00E312AD"/>
    <w:rsid w:val="00E31627"/>
    <w:rsid w:val="00E32917"/>
    <w:rsid w:val="00E32F93"/>
    <w:rsid w:val="00E330CC"/>
    <w:rsid w:val="00E35495"/>
    <w:rsid w:val="00E36554"/>
    <w:rsid w:val="00E369E9"/>
    <w:rsid w:val="00E46A52"/>
    <w:rsid w:val="00E50CA2"/>
    <w:rsid w:val="00E54B2B"/>
    <w:rsid w:val="00E551DD"/>
    <w:rsid w:val="00E558EB"/>
    <w:rsid w:val="00E55D25"/>
    <w:rsid w:val="00E606FA"/>
    <w:rsid w:val="00E60A2D"/>
    <w:rsid w:val="00E61D36"/>
    <w:rsid w:val="00E63D0E"/>
    <w:rsid w:val="00E647F5"/>
    <w:rsid w:val="00E6547B"/>
    <w:rsid w:val="00E65C95"/>
    <w:rsid w:val="00E65D65"/>
    <w:rsid w:val="00E65D6B"/>
    <w:rsid w:val="00E6648A"/>
    <w:rsid w:val="00E667F8"/>
    <w:rsid w:val="00E669C7"/>
    <w:rsid w:val="00E66A7F"/>
    <w:rsid w:val="00E66BA3"/>
    <w:rsid w:val="00E66E62"/>
    <w:rsid w:val="00E66EF1"/>
    <w:rsid w:val="00E670C3"/>
    <w:rsid w:val="00E6790F"/>
    <w:rsid w:val="00E70066"/>
    <w:rsid w:val="00E706C2"/>
    <w:rsid w:val="00E70E6C"/>
    <w:rsid w:val="00E711E6"/>
    <w:rsid w:val="00E72B0B"/>
    <w:rsid w:val="00E7399F"/>
    <w:rsid w:val="00E74D03"/>
    <w:rsid w:val="00E8048F"/>
    <w:rsid w:val="00E80A19"/>
    <w:rsid w:val="00E81D21"/>
    <w:rsid w:val="00E82528"/>
    <w:rsid w:val="00E8465A"/>
    <w:rsid w:val="00E849A5"/>
    <w:rsid w:val="00E85892"/>
    <w:rsid w:val="00E859A5"/>
    <w:rsid w:val="00E85CAE"/>
    <w:rsid w:val="00E85FE7"/>
    <w:rsid w:val="00E86AD0"/>
    <w:rsid w:val="00E87305"/>
    <w:rsid w:val="00E87F9E"/>
    <w:rsid w:val="00E905D7"/>
    <w:rsid w:val="00E9170A"/>
    <w:rsid w:val="00E917B9"/>
    <w:rsid w:val="00E91990"/>
    <w:rsid w:val="00E933C6"/>
    <w:rsid w:val="00E934A9"/>
    <w:rsid w:val="00E934C2"/>
    <w:rsid w:val="00E93550"/>
    <w:rsid w:val="00E93A75"/>
    <w:rsid w:val="00E955B6"/>
    <w:rsid w:val="00E96565"/>
    <w:rsid w:val="00E96B43"/>
    <w:rsid w:val="00E96D42"/>
    <w:rsid w:val="00E9715F"/>
    <w:rsid w:val="00EA1943"/>
    <w:rsid w:val="00EA55CF"/>
    <w:rsid w:val="00EA63A9"/>
    <w:rsid w:val="00EA66D5"/>
    <w:rsid w:val="00EA6974"/>
    <w:rsid w:val="00EA733C"/>
    <w:rsid w:val="00EA7BE7"/>
    <w:rsid w:val="00EB177B"/>
    <w:rsid w:val="00EB3907"/>
    <w:rsid w:val="00EB4648"/>
    <w:rsid w:val="00EB6734"/>
    <w:rsid w:val="00EB6AE7"/>
    <w:rsid w:val="00EB71F2"/>
    <w:rsid w:val="00EC0416"/>
    <w:rsid w:val="00EC151C"/>
    <w:rsid w:val="00EC26CC"/>
    <w:rsid w:val="00EC6ECC"/>
    <w:rsid w:val="00EC79DF"/>
    <w:rsid w:val="00ED3314"/>
    <w:rsid w:val="00ED3785"/>
    <w:rsid w:val="00ED5903"/>
    <w:rsid w:val="00ED598A"/>
    <w:rsid w:val="00EE060D"/>
    <w:rsid w:val="00EE0C9F"/>
    <w:rsid w:val="00EE4F33"/>
    <w:rsid w:val="00EE5466"/>
    <w:rsid w:val="00EE6F14"/>
    <w:rsid w:val="00EF0F33"/>
    <w:rsid w:val="00EF0FD5"/>
    <w:rsid w:val="00EF221A"/>
    <w:rsid w:val="00EF3F23"/>
    <w:rsid w:val="00EF47C6"/>
    <w:rsid w:val="00EF6C29"/>
    <w:rsid w:val="00EF7582"/>
    <w:rsid w:val="00F00CA8"/>
    <w:rsid w:val="00F0140B"/>
    <w:rsid w:val="00F01D39"/>
    <w:rsid w:val="00F0203D"/>
    <w:rsid w:val="00F02125"/>
    <w:rsid w:val="00F02561"/>
    <w:rsid w:val="00F056A3"/>
    <w:rsid w:val="00F05BA3"/>
    <w:rsid w:val="00F078D3"/>
    <w:rsid w:val="00F106DF"/>
    <w:rsid w:val="00F11D2C"/>
    <w:rsid w:val="00F12132"/>
    <w:rsid w:val="00F125BD"/>
    <w:rsid w:val="00F12A50"/>
    <w:rsid w:val="00F1330F"/>
    <w:rsid w:val="00F13EAB"/>
    <w:rsid w:val="00F15DEE"/>
    <w:rsid w:val="00F162D4"/>
    <w:rsid w:val="00F17B8D"/>
    <w:rsid w:val="00F17D28"/>
    <w:rsid w:val="00F203CA"/>
    <w:rsid w:val="00F213CF"/>
    <w:rsid w:val="00F21DB9"/>
    <w:rsid w:val="00F226A3"/>
    <w:rsid w:val="00F22A10"/>
    <w:rsid w:val="00F22D24"/>
    <w:rsid w:val="00F24582"/>
    <w:rsid w:val="00F24900"/>
    <w:rsid w:val="00F2567B"/>
    <w:rsid w:val="00F26459"/>
    <w:rsid w:val="00F26CA4"/>
    <w:rsid w:val="00F30B86"/>
    <w:rsid w:val="00F33616"/>
    <w:rsid w:val="00F33AA5"/>
    <w:rsid w:val="00F33C09"/>
    <w:rsid w:val="00F34BC7"/>
    <w:rsid w:val="00F34FD1"/>
    <w:rsid w:val="00F4010B"/>
    <w:rsid w:val="00F41C87"/>
    <w:rsid w:val="00F41E3D"/>
    <w:rsid w:val="00F41F3A"/>
    <w:rsid w:val="00F433D9"/>
    <w:rsid w:val="00F44324"/>
    <w:rsid w:val="00F45B1D"/>
    <w:rsid w:val="00F45CA8"/>
    <w:rsid w:val="00F4702C"/>
    <w:rsid w:val="00F47A82"/>
    <w:rsid w:val="00F505B8"/>
    <w:rsid w:val="00F50DED"/>
    <w:rsid w:val="00F51EBB"/>
    <w:rsid w:val="00F540E0"/>
    <w:rsid w:val="00F54680"/>
    <w:rsid w:val="00F54C50"/>
    <w:rsid w:val="00F560D5"/>
    <w:rsid w:val="00F609F3"/>
    <w:rsid w:val="00F618E0"/>
    <w:rsid w:val="00F61D13"/>
    <w:rsid w:val="00F634E4"/>
    <w:rsid w:val="00F634F6"/>
    <w:rsid w:val="00F63B78"/>
    <w:rsid w:val="00F6524E"/>
    <w:rsid w:val="00F65D7C"/>
    <w:rsid w:val="00F65E6D"/>
    <w:rsid w:val="00F66536"/>
    <w:rsid w:val="00F66D25"/>
    <w:rsid w:val="00F70011"/>
    <w:rsid w:val="00F71A34"/>
    <w:rsid w:val="00F72BE6"/>
    <w:rsid w:val="00F76EAC"/>
    <w:rsid w:val="00F7755A"/>
    <w:rsid w:val="00F77842"/>
    <w:rsid w:val="00F77CDE"/>
    <w:rsid w:val="00F8021F"/>
    <w:rsid w:val="00F8069F"/>
    <w:rsid w:val="00F83298"/>
    <w:rsid w:val="00F84EB8"/>
    <w:rsid w:val="00F85745"/>
    <w:rsid w:val="00F87B07"/>
    <w:rsid w:val="00F9041B"/>
    <w:rsid w:val="00F91AB6"/>
    <w:rsid w:val="00F9319D"/>
    <w:rsid w:val="00F94880"/>
    <w:rsid w:val="00F96572"/>
    <w:rsid w:val="00F979ED"/>
    <w:rsid w:val="00FA1342"/>
    <w:rsid w:val="00FA2C7F"/>
    <w:rsid w:val="00FA3BB7"/>
    <w:rsid w:val="00FA43C8"/>
    <w:rsid w:val="00FA44BB"/>
    <w:rsid w:val="00FA49EE"/>
    <w:rsid w:val="00FA5473"/>
    <w:rsid w:val="00FA6871"/>
    <w:rsid w:val="00FB0D65"/>
    <w:rsid w:val="00FB2E26"/>
    <w:rsid w:val="00FB4991"/>
    <w:rsid w:val="00FB4A8A"/>
    <w:rsid w:val="00FC2A0F"/>
    <w:rsid w:val="00FC2B23"/>
    <w:rsid w:val="00FC2D8B"/>
    <w:rsid w:val="00FC31E7"/>
    <w:rsid w:val="00FC42A2"/>
    <w:rsid w:val="00FD0541"/>
    <w:rsid w:val="00FD0A80"/>
    <w:rsid w:val="00FD186D"/>
    <w:rsid w:val="00FD285E"/>
    <w:rsid w:val="00FD3306"/>
    <w:rsid w:val="00FD3336"/>
    <w:rsid w:val="00FD39E5"/>
    <w:rsid w:val="00FD3AC7"/>
    <w:rsid w:val="00FD3D5E"/>
    <w:rsid w:val="00FD46F1"/>
    <w:rsid w:val="00FD70D3"/>
    <w:rsid w:val="00FE039A"/>
    <w:rsid w:val="00FE2679"/>
    <w:rsid w:val="00FE4FB0"/>
    <w:rsid w:val="00FE5059"/>
    <w:rsid w:val="00FE57D8"/>
    <w:rsid w:val="00FE5E20"/>
    <w:rsid w:val="00FE6967"/>
    <w:rsid w:val="00FE7188"/>
    <w:rsid w:val="00FF09A2"/>
    <w:rsid w:val="00FF1B50"/>
    <w:rsid w:val="00FF1D1B"/>
    <w:rsid w:val="00FF265E"/>
    <w:rsid w:val="00FF4514"/>
    <w:rsid w:val="00FF4E5E"/>
    <w:rsid w:val="00FF5F2B"/>
    <w:rsid w:val="00FF68CE"/>
    <w:rsid w:val="014D5AD5"/>
    <w:rsid w:val="063826D1"/>
    <w:rsid w:val="06ECBB2A"/>
    <w:rsid w:val="0947C973"/>
    <w:rsid w:val="0A8F4223"/>
    <w:rsid w:val="0AE81A1E"/>
    <w:rsid w:val="0BB1DFB4"/>
    <w:rsid w:val="1509C0E2"/>
    <w:rsid w:val="185E4199"/>
    <w:rsid w:val="187E610E"/>
    <w:rsid w:val="1C75953E"/>
    <w:rsid w:val="1CF9ABA7"/>
    <w:rsid w:val="1DC49F4E"/>
    <w:rsid w:val="1EFFF6E6"/>
    <w:rsid w:val="2274C957"/>
    <w:rsid w:val="229B5470"/>
    <w:rsid w:val="246769EB"/>
    <w:rsid w:val="2C36583F"/>
    <w:rsid w:val="2C5AEC46"/>
    <w:rsid w:val="2E1AE072"/>
    <w:rsid w:val="315EB105"/>
    <w:rsid w:val="31A22AFE"/>
    <w:rsid w:val="31B3CF01"/>
    <w:rsid w:val="3408F814"/>
    <w:rsid w:val="3529087C"/>
    <w:rsid w:val="353D6387"/>
    <w:rsid w:val="388185F5"/>
    <w:rsid w:val="3894E36C"/>
    <w:rsid w:val="3B24B84B"/>
    <w:rsid w:val="451BEB6D"/>
    <w:rsid w:val="45FE2189"/>
    <w:rsid w:val="487B66BD"/>
    <w:rsid w:val="4A45E30C"/>
    <w:rsid w:val="4E68238A"/>
    <w:rsid w:val="50F27995"/>
    <w:rsid w:val="5387515C"/>
    <w:rsid w:val="5422F24D"/>
    <w:rsid w:val="5669E9BE"/>
    <w:rsid w:val="612D7B5B"/>
    <w:rsid w:val="62F5BA2E"/>
    <w:rsid w:val="6316D554"/>
    <w:rsid w:val="6384CD9C"/>
    <w:rsid w:val="6A65D907"/>
    <w:rsid w:val="6B35279A"/>
    <w:rsid w:val="6CA83F80"/>
    <w:rsid w:val="6DE759F6"/>
    <w:rsid w:val="6EDA1E4F"/>
    <w:rsid w:val="72A5D1C5"/>
    <w:rsid w:val="7312E2BB"/>
    <w:rsid w:val="7321604E"/>
    <w:rsid w:val="73355DAA"/>
    <w:rsid w:val="768B0E79"/>
    <w:rsid w:val="77AE39AE"/>
    <w:rsid w:val="7852FAF6"/>
    <w:rsid w:val="7B1D5F40"/>
    <w:rsid w:val="7CE089E2"/>
    <w:rsid w:val="7DB8BA81"/>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A9834"/>
  <w15:chartTrackingRefBased/>
  <w15:docId w15:val="{5118E246-7874-4ECE-94FC-3711D82B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382"/>
    <w:pPr>
      <w:spacing w:after="180"/>
    </w:pPr>
    <w:rPr>
      <w:sz w:val="18"/>
    </w:rPr>
  </w:style>
  <w:style w:type="paragraph" w:styleId="Heading1">
    <w:name w:val="heading 1"/>
    <w:basedOn w:val="Normal"/>
    <w:next w:val="Normal"/>
    <w:link w:val="Heading1Char"/>
    <w:uiPriority w:val="9"/>
    <w:qFormat/>
    <w:rsid w:val="009E6382"/>
    <w:pPr>
      <w:keepNext/>
      <w:keepLines/>
      <w:numPr>
        <w:numId w:val="47"/>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basedOn w:val="Normal"/>
    <w:next w:val="Normal"/>
    <w:link w:val="Heading2Char"/>
    <w:uiPriority w:val="9"/>
    <w:qFormat/>
    <w:rsid w:val="009E6382"/>
    <w:pPr>
      <w:keepNext/>
      <w:keepLines/>
      <w:numPr>
        <w:ilvl w:val="1"/>
        <w:numId w:val="47"/>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basedOn w:val="Normal"/>
    <w:next w:val="Normal"/>
    <w:link w:val="Heading3Char"/>
    <w:uiPriority w:val="9"/>
    <w:qFormat/>
    <w:rsid w:val="009E6382"/>
    <w:pPr>
      <w:keepNext/>
      <w:keepLines/>
      <w:numPr>
        <w:ilvl w:val="2"/>
        <w:numId w:val="47"/>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9E6382"/>
    <w:pPr>
      <w:numPr>
        <w:ilvl w:val="5"/>
      </w:numPr>
      <w:spacing w:before="200"/>
      <w:outlineLvl w:val="3"/>
    </w:pPr>
    <w:rPr>
      <w:b w:val="0"/>
      <w:i/>
      <w:color w:val="auto"/>
      <w:szCs w:val="18"/>
    </w:rPr>
  </w:style>
  <w:style w:type="paragraph" w:styleId="Heading5">
    <w:name w:val="heading 5"/>
    <w:basedOn w:val="Heading4"/>
    <w:next w:val="Normal"/>
    <w:link w:val="Heading5Char"/>
    <w:uiPriority w:val="9"/>
    <w:qFormat/>
    <w:rsid w:val="009E6382"/>
    <w:pPr>
      <w:numPr>
        <w:ilvl w:val="0"/>
        <w:numId w:val="0"/>
      </w:numPr>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5E29B4"/>
    <w:p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31"/>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sz w:val="28"/>
      <w:szCs w:val="28"/>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9E6382"/>
    <w:pPr>
      <w:numPr>
        <w:numId w:val="7"/>
      </w:numPr>
    </w:pPr>
  </w:style>
  <w:style w:type="paragraph" w:styleId="ListBullet2">
    <w:name w:val="List Bullet 2"/>
    <w:basedOn w:val="Normal"/>
    <w:uiPriority w:val="99"/>
    <w:unhideWhenUsed/>
    <w:qFormat/>
    <w:rsid w:val="009E6382"/>
    <w:pPr>
      <w:numPr>
        <w:ilvl w:val="1"/>
        <w:numId w:val="7"/>
      </w:numPr>
      <w:ind w:left="568" w:hanging="284"/>
    </w:p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FF1B50"/>
    <w:pPr>
      <w:numPr>
        <w:numId w:val="1"/>
      </w:numPr>
    </w:pPr>
  </w:style>
  <w:style w:type="character" w:customStyle="1" w:styleId="Heading1Char">
    <w:name w:val="Heading 1 Char"/>
    <w:basedOn w:val="DefaultParagraphFont"/>
    <w:link w:val="Heading1"/>
    <w:uiPriority w:val="9"/>
    <w:rsid w:val="009E6382"/>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basedOn w:val="DefaultParagraphFont"/>
    <w:link w:val="Heading2"/>
    <w:uiPriority w:val="9"/>
    <w:rsid w:val="009E6382"/>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basedOn w:val="Normal"/>
    <w:uiPriority w:val="99"/>
    <w:unhideWhenUsed/>
    <w:qFormat/>
    <w:rsid w:val="00FF1B50"/>
    <w:pPr>
      <w:numPr>
        <w:ilvl w:val="2"/>
        <w:numId w:val="7"/>
      </w:numPr>
      <w:tabs>
        <w:tab w:val="num" w:pos="360"/>
      </w:tabs>
      <w:ind w:left="0" w:firstLine="0"/>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9E6382"/>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9E6382"/>
    <w:rPr>
      <w:rFonts w:asciiTheme="majorHAnsi" w:eastAsiaTheme="majorEastAsia" w:hAnsiTheme="majorHAnsi" w:cstheme="majorBidi"/>
      <w:i/>
      <w:sz w:val="20"/>
      <w:szCs w:val="18"/>
    </w:rPr>
  </w:style>
  <w:style w:type="character" w:customStyle="1" w:styleId="Heading5Char">
    <w:name w:val="Heading 5 Char"/>
    <w:basedOn w:val="DefaultParagraphFont"/>
    <w:link w:val="Heading5"/>
    <w:uiPriority w:val="9"/>
    <w:rsid w:val="009E6382"/>
    <w:rPr>
      <w:rFonts w:asciiTheme="majorHAnsi" w:eastAsiaTheme="majorEastAsia" w:hAnsiTheme="majorHAnsi" w:cstheme="majorBidi"/>
      <w:b/>
      <w:color w:val="2C4BA0" w:themeColor="accent1"/>
      <w:sz w:val="18"/>
      <w:szCs w:val="18"/>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9E6382"/>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9E6382"/>
    <w:rPr>
      <w:sz w:val="44"/>
    </w:rPr>
  </w:style>
  <w:style w:type="paragraph" w:customStyle="1" w:styleId="Call-outbox">
    <w:name w:val="Call-out box"/>
    <w:basedOn w:val="Normal"/>
    <w:uiPriority w:val="15"/>
    <w:rsid w:val="0052457F"/>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style>
  <w:style w:type="paragraph" w:customStyle="1" w:styleId="Call-outbox0">
    <w:name w:val="Call-out box0"/>
    <w:basedOn w:val="Normal"/>
    <w:next w:val="Call-outbox"/>
    <w:link w:val="Call-outboxChar"/>
    <w:uiPriority w:val="15"/>
    <w:rsid w:val="0027344F"/>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style>
  <w:style w:type="character" w:customStyle="1" w:styleId="Call-outboxChar">
    <w:name w:val="Call-out box Char"/>
    <w:basedOn w:val="DefaultParagraphFont"/>
    <w:link w:val="Call-outbox0"/>
    <w:uiPriority w:val="15"/>
    <w:rsid w:val="0052457F"/>
    <w:rPr>
      <w:sz w:val="18"/>
      <w:shd w:val="clear" w:color="auto" w:fill="F1F2F2" w:themeFill="accent3"/>
    </w:rPr>
  </w:style>
  <w:style w:type="character" w:customStyle="1" w:styleId="Call-outboxHeadingwithiconChar">
    <w:name w:val="Call-out box Heading with icon Char"/>
    <w:basedOn w:val="Call-outboxChar"/>
    <w:link w:val="Call-outboxHeadingwithicon"/>
    <w:uiPriority w:val="15"/>
    <w:rsid w:val="0027344F"/>
    <w:rPr>
      <w:b/>
      <w:color w:val="2C4BA0" w:themeColor="accent1"/>
      <w:sz w:val="18"/>
      <w:shd w:val="clear" w:color="auto" w:fill="F1F2F2" w:themeFill="accent3"/>
    </w:rPr>
  </w:style>
  <w:style w:type="paragraph" w:customStyle="1" w:styleId="Heading1-NoNumber">
    <w:name w:val="Heading 1 - No Number"/>
    <w:basedOn w:val="Heading1"/>
    <w:next w:val="Normal"/>
    <w:link w:val="Heading1-NoNumberChar"/>
    <w:uiPriority w:val="9"/>
    <w:qFormat/>
    <w:rsid w:val="009E6382"/>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9E6382"/>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sz w:val="28"/>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Contents Tables1"/>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99"/>
    <w:unhideWhenUsed/>
    <w:qFormat/>
    <w:rsid w:val="009E6382"/>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84085C"/>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sz w:val="20"/>
      <w:szCs w:val="24"/>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E205AD"/>
    <w:pPr>
      <w:numPr>
        <w:ilvl w:val="3"/>
        <w:numId w:val="7"/>
      </w:numPr>
      <w:tabs>
        <w:tab w:val="num" w:pos="360"/>
      </w:tabs>
      <w:ind w:left="1135" w:hanging="284"/>
    </w:pPr>
  </w:style>
  <w:style w:type="numbering" w:customStyle="1" w:styleId="TableNumbersBullets">
    <w:name w:val="Table Numbers &amp; Bullets"/>
    <w:uiPriority w:val="99"/>
    <w:rsid w:val="00EF0F33"/>
    <w:pPr>
      <w:numPr>
        <w:numId w:val="6"/>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C37891"/>
    <w:pPr>
      <w:spacing w:after="40"/>
    </w:pPr>
    <w:rPr>
      <w:sz w:val="16"/>
      <w:szCs w:val="16"/>
    </w:rPr>
  </w:style>
  <w:style w:type="paragraph" w:customStyle="1" w:styleId="TableBullet">
    <w:name w:val="Table Bullet"/>
    <w:basedOn w:val="TableText"/>
    <w:link w:val="TableBulletChar"/>
    <w:uiPriority w:val="7"/>
    <w:qFormat/>
    <w:rsid w:val="00EF0F33"/>
    <w:pPr>
      <w:numPr>
        <w:ilvl w:val="1"/>
        <w:numId w:val="8"/>
      </w:numPr>
    </w:pPr>
  </w:style>
  <w:style w:type="character" w:customStyle="1" w:styleId="TableTextChar">
    <w:name w:val="Table Text Char"/>
    <w:basedOn w:val="DefaultParagraphFont"/>
    <w:link w:val="TableText"/>
    <w:uiPriority w:val="4"/>
    <w:rsid w:val="00C37891"/>
    <w:rPr>
      <w:sz w:val="16"/>
      <w:szCs w:val="16"/>
    </w:rPr>
  </w:style>
  <w:style w:type="paragraph" w:customStyle="1" w:styleId="TableBullet2">
    <w:name w:val="Table Bullet 2"/>
    <w:basedOn w:val="TableText"/>
    <w:link w:val="TableBullet2Char"/>
    <w:uiPriority w:val="7"/>
    <w:qFormat/>
    <w:rsid w:val="00EF0F33"/>
    <w:pPr>
      <w:numPr>
        <w:ilvl w:val="2"/>
        <w:numId w:val="8"/>
      </w:numPr>
    </w:pPr>
  </w:style>
  <w:style w:type="character" w:customStyle="1" w:styleId="TableBulletChar">
    <w:name w:val="Table Bullet Char"/>
    <w:basedOn w:val="TableTextChar"/>
    <w:link w:val="TableBullet"/>
    <w:uiPriority w:val="7"/>
    <w:rsid w:val="007074FE"/>
    <w:rPr>
      <w:sz w:val="16"/>
      <w:szCs w:val="16"/>
    </w:rPr>
  </w:style>
  <w:style w:type="paragraph" w:customStyle="1" w:styleId="TableNumbers">
    <w:name w:val="Table Numbers"/>
    <w:basedOn w:val="TableText"/>
    <w:link w:val="TableNumbersChar"/>
    <w:uiPriority w:val="7"/>
    <w:qFormat/>
    <w:rsid w:val="00EF0F33"/>
    <w:pPr>
      <w:numPr>
        <w:numId w:val="8"/>
      </w:numPr>
    </w:pPr>
  </w:style>
  <w:style w:type="character" w:customStyle="1" w:styleId="TableBullet2Char">
    <w:name w:val="Table Bullet 2 Char"/>
    <w:basedOn w:val="TableTextChar"/>
    <w:link w:val="TableBullet2"/>
    <w:uiPriority w:val="7"/>
    <w:rsid w:val="007074FE"/>
    <w:rPr>
      <w:sz w:val="16"/>
      <w:szCs w:val="16"/>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sz w:val="18"/>
      <w:szCs w:val="18"/>
    </w:rPr>
  </w:style>
  <w:style w:type="character" w:customStyle="1" w:styleId="TableNumbersChar">
    <w:name w:val="Table Numbers Char"/>
    <w:basedOn w:val="TableTextChar"/>
    <w:link w:val="TableNumbers"/>
    <w:uiPriority w:val="7"/>
    <w:rsid w:val="007074FE"/>
    <w:rPr>
      <w:sz w:val="16"/>
      <w:szCs w:val="16"/>
    </w:rPr>
  </w:style>
  <w:style w:type="paragraph" w:customStyle="1" w:styleId="FooterLeft">
    <w:name w:val="Footer Left"/>
    <w:basedOn w:val="Footer"/>
    <w:rsid w:val="00C36C85"/>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9E6382"/>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9E6382"/>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9E6382"/>
    <w:rPr>
      <w:color w:val="2C4BA0" w:themeColor="accent1"/>
      <w:sz w:val="24"/>
      <w:szCs w:val="24"/>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pPr>
      <w:numPr>
        <w:ilvl w:val="3"/>
        <w:numId w:val="47"/>
      </w:numPr>
    </w:pPr>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99"/>
    <w:rsid w:val="009E6382"/>
    <w:rPr>
      <w:sz w:val="16"/>
    </w:rPr>
  </w:style>
  <w:style w:type="character" w:customStyle="1" w:styleId="CaptionImagesChar">
    <w:name w:val="Caption Images Char"/>
    <w:basedOn w:val="CaptionChar"/>
    <w:link w:val="CaptionImages"/>
    <w:rsid w:val="0034213F"/>
    <w:rPr>
      <w:sz w:val="16"/>
    </w:rPr>
  </w:style>
  <w:style w:type="paragraph" w:customStyle="1" w:styleId="CaptionTables">
    <w:name w:val="Caption Tables"/>
    <w:basedOn w:val="Caption"/>
    <w:next w:val="Normal"/>
    <w:link w:val="CaptionTablesChar"/>
    <w:rsid w:val="008A6FBC"/>
    <w:pPr>
      <w:numPr>
        <w:ilvl w:val="4"/>
        <w:numId w:val="47"/>
      </w:numPr>
      <w:spacing w:after="180"/>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sz w:val="16"/>
    </w:rPr>
  </w:style>
  <w:style w:type="character" w:customStyle="1" w:styleId="TableHeadingChar">
    <w:name w:val="Table Heading Char"/>
    <w:basedOn w:val="TableTextChar"/>
    <w:link w:val="TableHeading"/>
    <w:uiPriority w:val="6"/>
    <w:rsid w:val="007E5011"/>
    <w:rPr>
      <w:b/>
      <w:caps/>
      <w:color w:val="FFFFFF" w:themeColor="background1"/>
      <w:sz w:val="16"/>
      <w:szCs w:val="16"/>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after="160"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20"/>
      </w:numPr>
    </w:pPr>
  </w:style>
  <w:style w:type="character" w:customStyle="1" w:styleId="AppendixHeadingChar">
    <w:name w:val="Appendix Heading Char"/>
    <w:basedOn w:val="DefaultParagraphFont"/>
    <w:link w:val="AppendixHeading"/>
    <w:rsid w:val="000E21B9"/>
    <w:rPr>
      <w:b/>
      <w:bCs/>
      <w:color w:val="FFFFFF" w:themeColor="background1"/>
      <w:sz w:val="32"/>
      <w:szCs w:val="32"/>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Call-outbox0"/>
    <w:rsid w:val="007B7D06"/>
    <w:pPr>
      <w:framePr w:wrap="around"/>
    </w:p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sz w:val="20"/>
      <w:szCs w:val="20"/>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sz w:val="20"/>
      <w:szCs w:val="20"/>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paragraph" w:customStyle="1" w:styleId="Para0bullet">
    <w:name w:val="Para 0 bullet"/>
    <w:basedOn w:val="Normal"/>
    <w:link w:val="Para0bulletChar"/>
    <w:uiPriority w:val="99"/>
    <w:qFormat/>
    <w:rsid w:val="00D67923"/>
    <w:pPr>
      <w:numPr>
        <w:numId w:val="33"/>
      </w:numPr>
      <w:tabs>
        <w:tab w:val="left" w:pos="851"/>
      </w:tabs>
      <w:spacing w:after="120" w:line="240" w:lineRule="atLeast"/>
    </w:pPr>
    <w:rPr>
      <w:rFonts w:ascii="Jacobs Chronos" w:eastAsiaTheme="minorEastAsia" w:hAnsi="Jacobs Chronos" w:cs="Jacobs Chronos"/>
      <w:sz w:val="20"/>
      <w:szCs w:val="24"/>
      <w:lang w:val="en-GB"/>
    </w:rPr>
  </w:style>
  <w:style w:type="paragraph" w:customStyle="1" w:styleId="Para1narrowarrow">
    <w:name w:val="Para 1 narrow arrow"/>
    <w:basedOn w:val="Normal"/>
    <w:uiPriority w:val="5"/>
    <w:unhideWhenUsed/>
    <w:qFormat/>
    <w:rsid w:val="00D67923"/>
    <w:pPr>
      <w:numPr>
        <w:ilvl w:val="1"/>
        <w:numId w:val="33"/>
      </w:numPr>
      <w:tabs>
        <w:tab w:val="left" w:pos="851"/>
      </w:tabs>
      <w:spacing w:after="120" w:line="240" w:lineRule="atLeast"/>
    </w:pPr>
    <w:rPr>
      <w:rFonts w:ascii="Jacobs Chronos" w:eastAsiaTheme="minorEastAsia" w:hAnsi="Jacobs Chronos" w:cs="Jacobs Chronos"/>
      <w:sz w:val="20"/>
      <w:szCs w:val="24"/>
      <w:lang w:val="en-GB"/>
    </w:rPr>
  </w:style>
  <w:style w:type="numbering" w:customStyle="1" w:styleId="JacobsBulletList1">
    <w:name w:val="Jacobs Bullet List 1"/>
    <w:uiPriority w:val="99"/>
    <w:rsid w:val="00D67923"/>
    <w:pPr>
      <w:numPr>
        <w:numId w:val="33"/>
      </w:numPr>
    </w:pPr>
  </w:style>
  <w:style w:type="character" w:customStyle="1" w:styleId="Para0bulletChar">
    <w:name w:val="Para 0 bullet Char"/>
    <w:basedOn w:val="DefaultParagraphFont"/>
    <w:link w:val="Para0bullet"/>
    <w:uiPriority w:val="99"/>
    <w:locked/>
    <w:rsid w:val="00D67923"/>
    <w:rPr>
      <w:rFonts w:ascii="Jacobs Chronos" w:eastAsiaTheme="minorEastAsia" w:hAnsi="Jacobs Chronos" w:cs="Jacobs Chronos"/>
      <w:sz w:val="20"/>
      <w:szCs w:val="24"/>
      <w:lang w:val="en-GB"/>
    </w:rPr>
  </w:style>
  <w:style w:type="character" w:customStyle="1" w:styleId="Para0Char">
    <w:name w:val="Para 0 Char"/>
    <w:aliases w:val="Auto Char,After:  3 pt Char Char,REPORT Para 0 Char,After:  3 pt Char,Normal +Centre:  3 pt Char,Line spacing:  1.5 lines Char"/>
    <w:basedOn w:val="DefaultParagraphFont"/>
    <w:uiPriority w:val="4"/>
    <w:qFormat/>
    <w:rsid w:val="00510C7E"/>
    <w:rPr>
      <w:rFonts w:ascii="Jacobs Chronos" w:hAnsi="Jacobs Chronos" w:cs="Jacobs Chronos"/>
      <w:sz w:val="20"/>
      <w:lang w:val="en-GB"/>
    </w:rPr>
  </w:style>
  <w:style w:type="paragraph" w:customStyle="1" w:styleId="ContentBulletsLetter">
    <w:name w:val="Content Bullets Letter"/>
    <w:basedOn w:val="TableText"/>
    <w:semiHidden/>
    <w:qFormat/>
    <w:rsid w:val="00C9119F"/>
    <w:pPr>
      <w:numPr>
        <w:numId w:val="35"/>
      </w:numPr>
      <w:spacing w:before="240" w:after="120" w:line="240" w:lineRule="atLeast"/>
    </w:pPr>
    <w:rPr>
      <w:rFonts w:ascii="Jacobs Chronos" w:eastAsiaTheme="minorEastAsia" w:hAnsi="Jacobs Chronos" w:cs="Jacobs Chronos"/>
      <w:sz w:val="20"/>
      <w:szCs w:val="24"/>
      <w:lang w:val="en-GB"/>
    </w:rPr>
  </w:style>
  <w:style w:type="paragraph" w:styleId="FootnoteText">
    <w:name w:val="footnote text"/>
    <w:basedOn w:val="Normal"/>
    <w:link w:val="FootnoteTextChar"/>
    <w:uiPriority w:val="99"/>
    <w:rsid w:val="00C9119F"/>
    <w:pPr>
      <w:spacing w:after="240" w:line="240" w:lineRule="auto"/>
      <w:ind w:left="170" w:hanging="170"/>
      <w:contextualSpacing/>
    </w:pPr>
    <w:rPr>
      <w:rFonts w:ascii="Jacobs Chronos" w:eastAsiaTheme="minorEastAsia" w:hAnsi="Jacobs Chronos" w:cs="Jacobs Chronos"/>
      <w:color w:val="000000"/>
      <w:sz w:val="15"/>
      <w:szCs w:val="24"/>
      <w:lang w:val="en-GB"/>
    </w:rPr>
  </w:style>
  <w:style w:type="character" w:customStyle="1" w:styleId="FootnoteTextChar">
    <w:name w:val="Footnote Text Char"/>
    <w:basedOn w:val="DefaultParagraphFont"/>
    <w:link w:val="FootnoteText"/>
    <w:uiPriority w:val="99"/>
    <w:rsid w:val="00C9119F"/>
    <w:rPr>
      <w:rFonts w:ascii="Jacobs Chronos" w:eastAsiaTheme="minorEastAsia" w:hAnsi="Jacobs Chronos" w:cs="Jacobs Chronos"/>
      <w:color w:val="000000"/>
      <w:sz w:val="15"/>
      <w:szCs w:val="24"/>
      <w:lang w:val="en-GB"/>
    </w:rPr>
  </w:style>
  <w:style w:type="paragraph" w:customStyle="1" w:styleId="Tabletext0">
    <w:name w:val="Table text"/>
    <w:basedOn w:val="Normal"/>
    <w:uiPriority w:val="14"/>
    <w:qFormat/>
    <w:rsid w:val="00C9119F"/>
    <w:pPr>
      <w:spacing w:before="60" w:after="60" w:line="240" w:lineRule="atLeast"/>
    </w:pPr>
    <w:rPr>
      <w:rFonts w:ascii="Jacobs Chronos" w:eastAsiaTheme="minorEastAsia" w:hAnsi="Jacobs Chronos" w:cs="Jacobs Chronos"/>
      <w:sz w:val="20"/>
      <w:szCs w:val="24"/>
      <w:lang w:val="en-GB"/>
    </w:rPr>
  </w:style>
  <w:style w:type="character" w:styleId="FootnoteReference">
    <w:name w:val="footnote reference"/>
    <w:basedOn w:val="DefaultParagraphFont"/>
    <w:uiPriority w:val="99"/>
    <w:rsid w:val="00B40C01"/>
    <w:rPr>
      <w:rFonts w:asciiTheme="minorHAnsi" w:hAnsiTheme="minorHAnsi" w:cs="Jacobs Chronos"/>
      <w:sz w:val="16"/>
      <w:vertAlign w:val="superscript"/>
    </w:rPr>
  </w:style>
  <w:style w:type="paragraph" w:customStyle="1" w:styleId="ContentBulletsNumber">
    <w:name w:val="Content Bullets Number"/>
    <w:basedOn w:val="TableText"/>
    <w:semiHidden/>
    <w:qFormat/>
    <w:rsid w:val="00C9119F"/>
    <w:pPr>
      <w:numPr>
        <w:numId w:val="36"/>
      </w:numPr>
      <w:spacing w:before="240" w:after="120" w:line="240" w:lineRule="atLeast"/>
    </w:pPr>
    <w:rPr>
      <w:rFonts w:ascii="Jacobs Chronos" w:eastAsiaTheme="minorEastAsia" w:hAnsi="Jacobs Chronos" w:cs="Jacobs Chronos"/>
      <w:sz w:val="20"/>
      <w:szCs w:val="24"/>
      <w:lang w:val="en-GB"/>
    </w:rPr>
  </w:style>
  <w:style w:type="paragraph" w:customStyle="1" w:styleId="Tablesmalltext">
    <w:name w:val="Table small text"/>
    <w:basedOn w:val="Normal"/>
    <w:link w:val="TablesmalltextChar"/>
    <w:uiPriority w:val="15"/>
    <w:qFormat/>
    <w:rsid w:val="00C9119F"/>
    <w:pPr>
      <w:spacing w:before="40" w:after="40" w:line="240" w:lineRule="atLeast"/>
    </w:pPr>
    <w:rPr>
      <w:rFonts w:ascii="Jacobs Chronos" w:eastAsiaTheme="minorEastAsia" w:hAnsi="Jacobs Chronos" w:cs="Jacobs Chronos"/>
      <w:sz w:val="16"/>
      <w:szCs w:val="24"/>
      <w:lang w:val="en-GB"/>
    </w:rPr>
  </w:style>
  <w:style w:type="paragraph" w:customStyle="1" w:styleId="Tablesmallbullet">
    <w:name w:val="Table small bullet"/>
    <w:basedOn w:val="Tablesmalltext"/>
    <w:uiPriority w:val="15"/>
    <w:qFormat/>
    <w:rsid w:val="00C9119F"/>
    <w:pPr>
      <w:numPr>
        <w:numId w:val="37"/>
      </w:numPr>
      <w:tabs>
        <w:tab w:val="num" w:pos="360"/>
      </w:tabs>
      <w:ind w:left="851" w:hanging="851"/>
    </w:pPr>
  </w:style>
  <w:style w:type="paragraph" w:customStyle="1" w:styleId="Tablesmallheading">
    <w:name w:val="Table small heading"/>
    <w:basedOn w:val="TableHeading"/>
    <w:uiPriority w:val="15"/>
    <w:qFormat/>
    <w:rsid w:val="00C9119F"/>
    <w:pPr>
      <w:keepNext/>
      <w:spacing w:before="60" w:after="60" w:line="240" w:lineRule="atLeast"/>
    </w:pPr>
    <w:rPr>
      <w:rFonts w:ascii="Jacobs Chronos" w:eastAsiaTheme="minorEastAsia" w:hAnsi="Jacobs Chronos" w:cs="Jacobs Chronos"/>
      <w:caps w:val="0"/>
      <w:color w:val="auto"/>
      <w:sz w:val="20"/>
      <w:szCs w:val="24"/>
      <w:lang w:val="en-GB"/>
    </w:rPr>
  </w:style>
  <w:style w:type="numbering" w:customStyle="1" w:styleId="JacobsSmallTableList1">
    <w:name w:val="Jacobs Small Table List 1"/>
    <w:uiPriority w:val="99"/>
    <w:rsid w:val="00C9119F"/>
    <w:pPr>
      <w:numPr>
        <w:numId w:val="37"/>
      </w:numPr>
    </w:pPr>
  </w:style>
  <w:style w:type="character" w:customStyle="1" w:styleId="TablesmalltextChar">
    <w:name w:val="Table small text Char"/>
    <w:link w:val="Tablesmalltext"/>
    <w:uiPriority w:val="15"/>
    <w:rsid w:val="00C9119F"/>
    <w:rPr>
      <w:rFonts w:ascii="Jacobs Chronos" w:eastAsiaTheme="minorEastAsia" w:hAnsi="Jacobs Chronos" w:cs="Jacobs Chronos"/>
      <w:sz w:val="16"/>
      <w:szCs w:val="24"/>
      <w:lang w:val="en-GB"/>
    </w:rPr>
  </w:style>
  <w:style w:type="paragraph" w:customStyle="1" w:styleId="FigureCaption">
    <w:name w:val="Figure Caption"/>
    <w:basedOn w:val="Caption"/>
    <w:next w:val="BodyText"/>
    <w:uiPriority w:val="99"/>
    <w:semiHidden/>
    <w:rsid w:val="008A3B3C"/>
    <w:pPr>
      <w:tabs>
        <w:tab w:val="clear" w:pos="1134"/>
      </w:tabs>
      <w:spacing w:before="120" w:after="40" w:line="240" w:lineRule="auto"/>
    </w:pPr>
    <w:rPr>
      <w:rFonts w:eastAsiaTheme="minorEastAsia"/>
      <w:b/>
      <w:iCs/>
      <w:color w:val="000000" w:themeColor="text2"/>
      <w:sz w:val="20"/>
      <w:szCs w:val="18"/>
      <w:lang w:eastAsia="en-AU"/>
    </w:rPr>
  </w:style>
  <w:style w:type="paragraph" w:styleId="BodyText">
    <w:name w:val="Body Text"/>
    <w:basedOn w:val="Normal"/>
    <w:link w:val="BodyTextChar"/>
    <w:uiPriority w:val="99"/>
    <w:semiHidden/>
    <w:unhideWhenUsed/>
    <w:rsid w:val="008A3B3C"/>
    <w:pPr>
      <w:spacing w:after="120"/>
    </w:pPr>
  </w:style>
  <w:style w:type="character" w:customStyle="1" w:styleId="BodyTextChar">
    <w:name w:val="Body Text Char"/>
    <w:basedOn w:val="DefaultParagraphFont"/>
    <w:link w:val="BodyText"/>
    <w:uiPriority w:val="99"/>
    <w:semiHidden/>
    <w:rsid w:val="008A3B3C"/>
    <w:rPr>
      <w:sz w:val="18"/>
    </w:rPr>
  </w:style>
  <w:style w:type="character" w:customStyle="1" w:styleId="ui-provider">
    <w:name w:val="ui-provider"/>
    <w:basedOn w:val="DefaultParagraphFont"/>
    <w:rsid w:val="007350F0"/>
  </w:style>
  <w:style w:type="paragraph" w:customStyle="1" w:styleId="Unnumberedlevel1heading">
    <w:name w:val="Unnumbered level 1 heading"/>
    <w:basedOn w:val="Introduction"/>
    <w:link w:val="Unnumberedlevel1headingChar"/>
    <w:qFormat/>
    <w:rsid w:val="00C066A1"/>
    <w:pPr>
      <w:spacing w:after="120"/>
    </w:pPr>
    <w:rPr>
      <w:sz w:val="20"/>
      <w:szCs w:val="20"/>
    </w:rPr>
  </w:style>
  <w:style w:type="character" w:customStyle="1" w:styleId="Unnumberedlevel1headingChar">
    <w:name w:val="Unnumbered level 1 heading Char"/>
    <w:basedOn w:val="IntroductionChar"/>
    <w:link w:val="Unnumberedlevel1heading"/>
    <w:rsid w:val="00C066A1"/>
    <w:rPr>
      <w:color w:val="2C4BA0" w:themeColor="accent1"/>
      <w:sz w:val="20"/>
      <w:szCs w:val="20"/>
    </w:rPr>
  </w:style>
  <w:style w:type="paragraph" w:customStyle="1" w:styleId="Call-outboxHeadingwithicon">
    <w:name w:val="Call-out box Heading with icon"/>
    <w:basedOn w:val="Call-outbox0"/>
    <w:next w:val="Call-outbox0"/>
    <w:link w:val="Call-outboxHeadingwithiconChar"/>
    <w:uiPriority w:val="15"/>
    <w:rsid w:val="0027344F"/>
    <w:pPr>
      <w:framePr w:wrap="around"/>
      <w:numPr>
        <w:numId w:val="44"/>
      </w:numPr>
      <w:spacing w:after="80"/>
    </w:pPr>
    <w:rPr>
      <w:b/>
      <w:color w:val="2C4BA0" w:themeColor="accent1"/>
    </w:rPr>
  </w:style>
  <w:style w:type="paragraph" w:customStyle="1" w:styleId="UnnumberedLevel4">
    <w:name w:val="Unnumbered Level 4"/>
    <w:basedOn w:val="Heading5"/>
    <w:qFormat/>
    <w:rsid w:val="00DD6480"/>
    <w:pPr>
      <w:ind w:left="0" w:firstLine="0"/>
    </w:pPr>
  </w:style>
  <w:style w:type="character" w:styleId="Strong">
    <w:name w:val="Strong"/>
    <w:basedOn w:val="DefaultParagraphFont"/>
    <w:uiPriority w:val="22"/>
    <w:qFormat/>
    <w:rsid w:val="00430B69"/>
    <w:rPr>
      <w:b/>
      <w:bCs/>
    </w:rPr>
  </w:style>
  <w:style w:type="paragraph" w:styleId="NormalWeb">
    <w:name w:val="Normal (Web)"/>
    <w:basedOn w:val="Normal"/>
    <w:uiPriority w:val="99"/>
    <w:unhideWhenUsed/>
    <w:rsid w:val="00BB18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smallletter">
    <w:name w:val="Table small letter"/>
    <w:basedOn w:val="Tablesmallbullet"/>
    <w:uiPriority w:val="15"/>
    <w:qFormat/>
    <w:rsid w:val="003816C4"/>
    <w:pPr>
      <w:numPr>
        <w:numId w:val="52"/>
      </w:numPr>
    </w:pPr>
  </w:style>
  <w:style w:type="paragraph" w:customStyle="1" w:styleId="Tablesmallnumber">
    <w:name w:val="Table small number"/>
    <w:basedOn w:val="Tablesmallbullet"/>
    <w:uiPriority w:val="15"/>
    <w:qFormat/>
    <w:rsid w:val="003816C4"/>
    <w:pPr>
      <w:numPr>
        <w:numId w:val="51"/>
      </w:numPr>
    </w:pPr>
  </w:style>
  <w:style w:type="numbering" w:customStyle="1" w:styleId="JacobsSmallTableNumberedList1">
    <w:name w:val="Jacobs Small Table Numbered List 1"/>
    <w:uiPriority w:val="99"/>
    <w:rsid w:val="003816C4"/>
    <w:pPr>
      <w:numPr>
        <w:numId w:val="54"/>
      </w:numPr>
    </w:pPr>
  </w:style>
  <w:style w:type="numbering" w:customStyle="1" w:styleId="JacobsSmallTableNumberedList2">
    <w:name w:val="Jacobs Small Table Numbered List 2"/>
    <w:uiPriority w:val="99"/>
    <w:rsid w:val="003816C4"/>
    <w:pPr>
      <w:numPr>
        <w:numId w:val="52"/>
      </w:numPr>
    </w:pPr>
  </w:style>
  <w:style w:type="numbering" w:customStyle="1" w:styleId="JacobsSmallTableNumberedList11">
    <w:name w:val="Jacobs Small Table Numbered List 11"/>
    <w:uiPriority w:val="99"/>
    <w:rsid w:val="003816C4"/>
  </w:style>
  <w:style w:type="numbering" w:customStyle="1" w:styleId="JacobsSmallTableNumberedList21">
    <w:name w:val="Jacobs Small Table Numbered List 21"/>
    <w:uiPriority w:val="99"/>
    <w:rsid w:val="003816C4"/>
  </w:style>
  <w:style w:type="paragraph" w:customStyle="1" w:styleId="Tablenumbers2">
    <w:name w:val="Table numbers 2"/>
    <w:basedOn w:val="List"/>
    <w:qFormat/>
    <w:rsid w:val="007219A2"/>
    <w:pPr>
      <w:numPr>
        <w:numId w:val="80"/>
      </w:numPr>
      <w:spacing w:before="60" w:after="60" w:line="240" w:lineRule="auto"/>
      <w:ind w:left="568" w:hanging="284"/>
      <w:contextualSpacing w:val="0"/>
    </w:pPr>
    <w:rPr>
      <w:sz w:val="16"/>
    </w:rPr>
  </w:style>
  <w:style w:type="paragraph" w:customStyle="1" w:styleId="Tablenumbers3">
    <w:name w:val="Table numbers 3"/>
    <w:basedOn w:val="TableNumbers"/>
    <w:qFormat/>
    <w:rsid w:val="007219A2"/>
    <w:pPr>
      <w:numPr>
        <w:numId w:val="81"/>
      </w:numPr>
      <w:spacing w:before="40" w:after="60" w:line="240" w:lineRule="auto"/>
      <w:ind w:left="851"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46549">
      <w:bodyDiv w:val="1"/>
      <w:marLeft w:val="0"/>
      <w:marRight w:val="0"/>
      <w:marTop w:val="0"/>
      <w:marBottom w:val="0"/>
      <w:divBdr>
        <w:top w:val="none" w:sz="0" w:space="0" w:color="auto"/>
        <w:left w:val="none" w:sz="0" w:space="0" w:color="auto"/>
        <w:bottom w:val="none" w:sz="0" w:space="0" w:color="auto"/>
        <w:right w:val="none" w:sz="0" w:space="0" w:color="auto"/>
      </w:divBdr>
    </w:div>
    <w:div w:id="74597592">
      <w:bodyDiv w:val="1"/>
      <w:marLeft w:val="0"/>
      <w:marRight w:val="0"/>
      <w:marTop w:val="0"/>
      <w:marBottom w:val="0"/>
      <w:divBdr>
        <w:top w:val="none" w:sz="0" w:space="0" w:color="auto"/>
        <w:left w:val="none" w:sz="0" w:space="0" w:color="auto"/>
        <w:bottom w:val="none" w:sz="0" w:space="0" w:color="auto"/>
        <w:right w:val="none" w:sz="0" w:space="0" w:color="auto"/>
      </w:divBdr>
    </w:div>
    <w:div w:id="108089516">
      <w:bodyDiv w:val="1"/>
      <w:marLeft w:val="0"/>
      <w:marRight w:val="0"/>
      <w:marTop w:val="0"/>
      <w:marBottom w:val="0"/>
      <w:divBdr>
        <w:top w:val="none" w:sz="0" w:space="0" w:color="auto"/>
        <w:left w:val="none" w:sz="0" w:space="0" w:color="auto"/>
        <w:bottom w:val="none" w:sz="0" w:space="0" w:color="auto"/>
        <w:right w:val="none" w:sz="0" w:space="0" w:color="auto"/>
      </w:divBdr>
    </w:div>
    <w:div w:id="138813959">
      <w:bodyDiv w:val="1"/>
      <w:marLeft w:val="0"/>
      <w:marRight w:val="0"/>
      <w:marTop w:val="0"/>
      <w:marBottom w:val="0"/>
      <w:divBdr>
        <w:top w:val="none" w:sz="0" w:space="0" w:color="auto"/>
        <w:left w:val="none" w:sz="0" w:space="0" w:color="auto"/>
        <w:bottom w:val="none" w:sz="0" w:space="0" w:color="auto"/>
        <w:right w:val="none" w:sz="0" w:space="0" w:color="auto"/>
      </w:divBdr>
    </w:div>
    <w:div w:id="152840103">
      <w:bodyDiv w:val="1"/>
      <w:marLeft w:val="0"/>
      <w:marRight w:val="0"/>
      <w:marTop w:val="0"/>
      <w:marBottom w:val="0"/>
      <w:divBdr>
        <w:top w:val="none" w:sz="0" w:space="0" w:color="auto"/>
        <w:left w:val="none" w:sz="0" w:space="0" w:color="auto"/>
        <w:bottom w:val="none" w:sz="0" w:space="0" w:color="auto"/>
        <w:right w:val="none" w:sz="0" w:space="0" w:color="auto"/>
      </w:divBdr>
    </w:div>
    <w:div w:id="168058802">
      <w:bodyDiv w:val="1"/>
      <w:marLeft w:val="0"/>
      <w:marRight w:val="0"/>
      <w:marTop w:val="0"/>
      <w:marBottom w:val="0"/>
      <w:divBdr>
        <w:top w:val="none" w:sz="0" w:space="0" w:color="auto"/>
        <w:left w:val="none" w:sz="0" w:space="0" w:color="auto"/>
        <w:bottom w:val="none" w:sz="0" w:space="0" w:color="auto"/>
        <w:right w:val="none" w:sz="0" w:space="0" w:color="auto"/>
      </w:divBdr>
    </w:div>
    <w:div w:id="191774563">
      <w:bodyDiv w:val="1"/>
      <w:marLeft w:val="0"/>
      <w:marRight w:val="0"/>
      <w:marTop w:val="0"/>
      <w:marBottom w:val="0"/>
      <w:divBdr>
        <w:top w:val="none" w:sz="0" w:space="0" w:color="auto"/>
        <w:left w:val="none" w:sz="0" w:space="0" w:color="auto"/>
        <w:bottom w:val="none" w:sz="0" w:space="0" w:color="auto"/>
        <w:right w:val="none" w:sz="0" w:space="0" w:color="auto"/>
      </w:divBdr>
    </w:div>
    <w:div w:id="197279637">
      <w:bodyDiv w:val="1"/>
      <w:marLeft w:val="0"/>
      <w:marRight w:val="0"/>
      <w:marTop w:val="0"/>
      <w:marBottom w:val="0"/>
      <w:divBdr>
        <w:top w:val="none" w:sz="0" w:space="0" w:color="auto"/>
        <w:left w:val="none" w:sz="0" w:space="0" w:color="auto"/>
        <w:bottom w:val="none" w:sz="0" w:space="0" w:color="auto"/>
        <w:right w:val="none" w:sz="0" w:space="0" w:color="auto"/>
      </w:divBdr>
    </w:div>
    <w:div w:id="244580661">
      <w:bodyDiv w:val="1"/>
      <w:marLeft w:val="0"/>
      <w:marRight w:val="0"/>
      <w:marTop w:val="0"/>
      <w:marBottom w:val="0"/>
      <w:divBdr>
        <w:top w:val="none" w:sz="0" w:space="0" w:color="auto"/>
        <w:left w:val="none" w:sz="0" w:space="0" w:color="auto"/>
        <w:bottom w:val="none" w:sz="0" w:space="0" w:color="auto"/>
        <w:right w:val="none" w:sz="0" w:space="0" w:color="auto"/>
      </w:divBdr>
    </w:div>
    <w:div w:id="297804947">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410005441">
      <w:bodyDiv w:val="1"/>
      <w:marLeft w:val="0"/>
      <w:marRight w:val="0"/>
      <w:marTop w:val="0"/>
      <w:marBottom w:val="0"/>
      <w:divBdr>
        <w:top w:val="none" w:sz="0" w:space="0" w:color="auto"/>
        <w:left w:val="none" w:sz="0" w:space="0" w:color="auto"/>
        <w:bottom w:val="none" w:sz="0" w:space="0" w:color="auto"/>
        <w:right w:val="none" w:sz="0" w:space="0" w:color="auto"/>
      </w:divBdr>
    </w:div>
    <w:div w:id="419984878">
      <w:bodyDiv w:val="1"/>
      <w:marLeft w:val="0"/>
      <w:marRight w:val="0"/>
      <w:marTop w:val="0"/>
      <w:marBottom w:val="0"/>
      <w:divBdr>
        <w:top w:val="none" w:sz="0" w:space="0" w:color="auto"/>
        <w:left w:val="none" w:sz="0" w:space="0" w:color="auto"/>
        <w:bottom w:val="none" w:sz="0" w:space="0" w:color="auto"/>
        <w:right w:val="none" w:sz="0" w:space="0" w:color="auto"/>
      </w:divBdr>
    </w:div>
    <w:div w:id="575550112">
      <w:bodyDiv w:val="1"/>
      <w:marLeft w:val="0"/>
      <w:marRight w:val="0"/>
      <w:marTop w:val="0"/>
      <w:marBottom w:val="0"/>
      <w:divBdr>
        <w:top w:val="none" w:sz="0" w:space="0" w:color="auto"/>
        <w:left w:val="none" w:sz="0" w:space="0" w:color="auto"/>
        <w:bottom w:val="none" w:sz="0" w:space="0" w:color="auto"/>
        <w:right w:val="none" w:sz="0" w:space="0" w:color="auto"/>
      </w:divBdr>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883836536">
      <w:bodyDiv w:val="1"/>
      <w:marLeft w:val="0"/>
      <w:marRight w:val="0"/>
      <w:marTop w:val="0"/>
      <w:marBottom w:val="0"/>
      <w:divBdr>
        <w:top w:val="none" w:sz="0" w:space="0" w:color="auto"/>
        <w:left w:val="none" w:sz="0" w:space="0" w:color="auto"/>
        <w:bottom w:val="none" w:sz="0" w:space="0" w:color="auto"/>
        <w:right w:val="none" w:sz="0" w:space="0" w:color="auto"/>
      </w:divBdr>
    </w:div>
    <w:div w:id="949703137">
      <w:bodyDiv w:val="1"/>
      <w:marLeft w:val="0"/>
      <w:marRight w:val="0"/>
      <w:marTop w:val="0"/>
      <w:marBottom w:val="0"/>
      <w:divBdr>
        <w:top w:val="none" w:sz="0" w:space="0" w:color="auto"/>
        <w:left w:val="none" w:sz="0" w:space="0" w:color="auto"/>
        <w:bottom w:val="none" w:sz="0" w:space="0" w:color="auto"/>
        <w:right w:val="none" w:sz="0" w:space="0" w:color="auto"/>
      </w:divBdr>
    </w:div>
    <w:div w:id="1150975267">
      <w:bodyDiv w:val="1"/>
      <w:marLeft w:val="0"/>
      <w:marRight w:val="0"/>
      <w:marTop w:val="0"/>
      <w:marBottom w:val="0"/>
      <w:divBdr>
        <w:top w:val="none" w:sz="0" w:space="0" w:color="auto"/>
        <w:left w:val="none" w:sz="0" w:space="0" w:color="auto"/>
        <w:bottom w:val="none" w:sz="0" w:space="0" w:color="auto"/>
        <w:right w:val="none" w:sz="0" w:space="0" w:color="auto"/>
      </w:divBdr>
    </w:div>
    <w:div w:id="1230963010">
      <w:bodyDiv w:val="1"/>
      <w:marLeft w:val="0"/>
      <w:marRight w:val="0"/>
      <w:marTop w:val="0"/>
      <w:marBottom w:val="0"/>
      <w:divBdr>
        <w:top w:val="none" w:sz="0" w:space="0" w:color="auto"/>
        <w:left w:val="none" w:sz="0" w:space="0" w:color="auto"/>
        <w:bottom w:val="none" w:sz="0" w:space="0" w:color="auto"/>
        <w:right w:val="none" w:sz="0" w:space="0" w:color="auto"/>
      </w:divBdr>
    </w:div>
    <w:div w:id="1270551946">
      <w:bodyDiv w:val="1"/>
      <w:marLeft w:val="0"/>
      <w:marRight w:val="0"/>
      <w:marTop w:val="0"/>
      <w:marBottom w:val="0"/>
      <w:divBdr>
        <w:top w:val="none" w:sz="0" w:space="0" w:color="auto"/>
        <w:left w:val="none" w:sz="0" w:space="0" w:color="auto"/>
        <w:bottom w:val="none" w:sz="0" w:space="0" w:color="auto"/>
        <w:right w:val="none" w:sz="0" w:space="0" w:color="auto"/>
      </w:divBdr>
    </w:div>
    <w:div w:id="1310748120">
      <w:bodyDiv w:val="1"/>
      <w:marLeft w:val="0"/>
      <w:marRight w:val="0"/>
      <w:marTop w:val="0"/>
      <w:marBottom w:val="0"/>
      <w:divBdr>
        <w:top w:val="none" w:sz="0" w:space="0" w:color="auto"/>
        <w:left w:val="none" w:sz="0" w:space="0" w:color="auto"/>
        <w:bottom w:val="none" w:sz="0" w:space="0" w:color="auto"/>
        <w:right w:val="none" w:sz="0" w:space="0" w:color="auto"/>
      </w:divBdr>
    </w:div>
    <w:div w:id="1319656425">
      <w:bodyDiv w:val="1"/>
      <w:marLeft w:val="0"/>
      <w:marRight w:val="0"/>
      <w:marTop w:val="0"/>
      <w:marBottom w:val="0"/>
      <w:divBdr>
        <w:top w:val="none" w:sz="0" w:space="0" w:color="auto"/>
        <w:left w:val="none" w:sz="0" w:space="0" w:color="auto"/>
        <w:bottom w:val="none" w:sz="0" w:space="0" w:color="auto"/>
        <w:right w:val="none" w:sz="0" w:space="0" w:color="auto"/>
      </w:divBdr>
    </w:div>
    <w:div w:id="1336613836">
      <w:bodyDiv w:val="1"/>
      <w:marLeft w:val="0"/>
      <w:marRight w:val="0"/>
      <w:marTop w:val="0"/>
      <w:marBottom w:val="0"/>
      <w:divBdr>
        <w:top w:val="none" w:sz="0" w:space="0" w:color="auto"/>
        <w:left w:val="none" w:sz="0" w:space="0" w:color="auto"/>
        <w:bottom w:val="none" w:sz="0" w:space="0" w:color="auto"/>
        <w:right w:val="none" w:sz="0" w:space="0" w:color="auto"/>
      </w:divBdr>
    </w:div>
    <w:div w:id="1352141865">
      <w:bodyDiv w:val="1"/>
      <w:marLeft w:val="0"/>
      <w:marRight w:val="0"/>
      <w:marTop w:val="0"/>
      <w:marBottom w:val="0"/>
      <w:divBdr>
        <w:top w:val="none" w:sz="0" w:space="0" w:color="auto"/>
        <w:left w:val="none" w:sz="0" w:space="0" w:color="auto"/>
        <w:bottom w:val="none" w:sz="0" w:space="0" w:color="auto"/>
        <w:right w:val="none" w:sz="0" w:space="0" w:color="auto"/>
      </w:divBdr>
    </w:div>
    <w:div w:id="1368019888">
      <w:bodyDiv w:val="1"/>
      <w:marLeft w:val="0"/>
      <w:marRight w:val="0"/>
      <w:marTop w:val="0"/>
      <w:marBottom w:val="0"/>
      <w:divBdr>
        <w:top w:val="none" w:sz="0" w:space="0" w:color="auto"/>
        <w:left w:val="none" w:sz="0" w:space="0" w:color="auto"/>
        <w:bottom w:val="none" w:sz="0" w:space="0" w:color="auto"/>
        <w:right w:val="none" w:sz="0" w:space="0" w:color="auto"/>
      </w:divBdr>
    </w:div>
    <w:div w:id="1379821654">
      <w:bodyDiv w:val="1"/>
      <w:marLeft w:val="0"/>
      <w:marRight w:val="0"/>
      <w:marTop w:val="0"/>
      <w:marBottom w:val="0"/>
      <w:divBdr>
        <w:top w:val="none" w:sz="0" w:space="0" w:color="auto"/>
        <w:left w:val="none" w:sz="0" w:space="0" w:color="auto"/>
        <w:bottom w:val="none" w:sz="0" w:space="0" w:color="auto"/>
        <w:right w:val="none" w:sz="0" w:space="0" w:color="auto"/>
      </w:divBdr>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697661166">
      <w:bodyDiv w:val="1"/>
      <w:marLeft w:val="0"/>
      <w:marRight w:val="0"/>
      <w:marTop w:val="0"/>
      <w:marBottom w:val="0"/>
      <w:divBdr>
        <w:top w:val="none" w:sz="0" w:space="0" w:color="auto"/>
        <w:left w:val="none" w:sz="0" w:space="0" w:color="auto"/>
        <w:bottom w:val="none" w:sz="0" w:space="0" w:color="auto"/>
        <w:right w:val="none" w:sz="0" w:space="0" w:color="auto"/>
      </w:divBdr>
    </w:div>
    <w:div w:id="1716616128">
      <w:bodyDiv w:val="1"/>
      <w:marLeft w:val="0"/>
      <w:marRight w:val="0"/>
      <w:marTop w:val="0"/>
      <w:marBottom w:val="0"/>
      <w:divBdr>
        <w:top w:val="none" w:sz="0" w:space="0" w:color="auto"/>
        <w:left w:val="none" w:sz="0" w:space="0" w:color="auto"/>
        <w:bottom w:val="none" w:sz="0" w:space="0" w:color="auto"/>
        <w:right w:val="none" w:sz="0" w:space="0" w:color="auto"/>
      </w:divBdr>
    </w:div>
    <w:div w:id="1722632355">
      <w:bodyDiv w:val="1"/>
      <w:marLeft w:val="0"/>
      <w:marRight w:val="0"/>
      <w:marTop w:val="0"/>
      <w:marBottom w:val="0"/>
      <w:divBdr>
        <w:top w:val="none" w:sz="0" w:space="0" w:color="auto"/>
        <w:left w:val="none" w:sz="0" w:space="0" w:color="auto"/>
        <w:bottom w:val="none" w:sz="0" w:space="0" w:color="auto"/>
        <w:right w:val="none" w:sz="0" w:space="0" w:color="auto"/>
      </w:divBdr>
    </w:div>
    <w:div w:id="2031644561">
      <w:bodyDiv w:val="1"/>
      <w:marLeft w:val="0"/>
      <w:marRight w:val="0"/>
      <w:marTop w:val="0"/>
      <w:marBottom w:val="0"/>
      <w:divBdr>
        <w:top w:val="none" w:sz="0" w:space="0" w:color="auto"/>
        <w:left w:val="none" w:sz="0" w:space="0" w:color="auto"/>
        <w:bottom w:val="none" w:sz="0" w:space="0" w:color="auto"/>
        <w:right w:val="none" w:sz="0" w:space="0" w:color="auto"/>
      </w:divBdr>
    </w:div>
    <w:div w:id="209613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image" Target="media/image5.tiff"/><Relationship Id="rId47" Type="http://schemas.openxmlformats.org/officeDocument/2006/relationships/footer" Target="footer17.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header" Target="header1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g"/><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footer" Target="footer18.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header" Target="header15.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footer" Target="footer12.xml"/><Relationship Id="rId43" Type="http://schemas.openxmlformats.org/officeDocument/2006/relationships/image" Target="media/image6.png"/><Relationship Id="rId48" Type="http://schemas.openxmlformats.org/officeDocument/2006/relationships/header" Target="header17.xml"/><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footer" Target="footer16.xml"/><Relationship Id="rId20" Type="http://schemas.openxmlformats.org/officeDocument/2006/relationships/footer" Target="footer5.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176649">
          <w:pPr>
            <w:pStyle w:val="3E70840594124E1BA78B4FC551C0FAE9"/>
          </w:pPr>
          <w:r w:rsidRPr="00724C52">
            <w:rPr>
              <w:highlight w:val="lightGray"/>
            </w:rPr>
            <w:t>[Click to add text]</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176649">
          <w:pPr>
            <w:pStyle w:val="A9360176820C4201B243F3572091DEB7"/>
          </w:pPr>
          <w:r w:rsidRPr="000E21B9">
            <w:rPr>
              <w:highlight w:val="darkGray"/>
            </w:rPr>
            <w:t>[Appendix Heading]</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176649">
          <w:pPr>
            <w:pStyle w:val="FFC4A7BDBA77435EB3CB2E799667C79A"/>
          </w:pPr>
          <w:r>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176649">
          <w:pPr>
            <w:pStyle w:val="1828A7126B6A4AE3B7BFBBE87B33D972"/>
          </w:pPr>
          <w:r>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13CBA"/>
    <w:rsid w:val="00015AFF"/>
    <w:rsid w:val="000464E2"/>
    <w:rsid w:val="000558A3"/>
    <w:rsid w:val="00056697"/>
    <w:rsid w:val="00066BBF"/>
    <w:rsid w:val="00076482"/>
    <w:rsid w:val="00090CE9"/>
    <w:rsid w:val="000960B1"/>
    <w:rsid w:val="000A5926"/>
    <w:rsid w:val="000B212C"/>
    <w:rsid w:val="000D7DBB"/>
    <w:rsid w:val="000E06A2"/>
    <w:rsid w:val="000E51AA"/>
    <w:rsid w:val="000F124A"/>
    <w:rsid w:val="001051C9"/>
    <w:rsid w:val="00126A2C"/>
    <w:rsid w:val="001673B1"/>
    <w:rsid w:val="001676F4"/>
    <w:rsid w:val="00176649"/>
    <w:rsid w:val="001908AC"/>
    <w:rsid w:val="001B7530"/>
    <w:rsid w:val="001B7B88"/>
    <w:rsid w:val="001C293E"/>
    <w:rsid w:val="001C591A"/>
    <w:rsid w:val="001D2CFA"/>
    <w:rsid w:val="001E3B52"/>
    <w:rsid w:val="002003C8"/>
    <w:rsid w:val="002023C7"/>
    <w:rsid w:val="00203FBE"/>
    <w:rsid w:val="0023750C"/>
    <w:rsid w:val="0024520E"/>
    <w:rsid w:val="00253677"/>
    <w:rsid w:val="002744CC"/>
    <w:rsid w:val="0028035C"/>
    <w:rsid w:val="00282DEB"/>
    <w:rsid w:val="002A7CD5"/>
    <w:rsid w:val="002D16E4"/>
    <w:rsid w:val="002E3E55"/>
    <w:rsid w:val="002F107E"/>
    <w:rsid w:val="002F3145"/>
    <w:rsid w:val="00307255"/>
    <w:rsid w:val="00312461"/>
    <w:rsid w:val="00327F5B"/>
    <w:rsid w:val="00331298"/>
    <w:rsid w:val="00335EDD"/>
    <w:rsid w:val="0034412B"/>
    <w:rsid w:val="003735CC"/>
    <w:rsid w:val="00375133"/>
    <w:rsid w:val="003D4338"/>
    <w:rsid w:val="003F7C0A"/>
    <w:rsid w:val="00425A8A"/>
    <w:rsid w:val="00434A5F"/>
    <w:rsid w:val="00440E58"/>
    <w:rsid w:val="004519C8"/>
    <w:rsid w:val="004576C7"/>
    <w:rsid w:val="004F0D64"/>
    <w:rsid w:val="004F6059"/>
    <w:rsid w:val="00506E26"/>
    <w:rsid w:val="00515047"/>
    <w:rsid w:val="00524F87"/>
    <w:rsid w:val="00531D71"/>
    <w:rsid w:val="00533102"/>
    <w:rsid w:val="00545CB9"/>
    <w:rsid w:val="005601CA"/>
    <w:rsid w:val="005661D9"/>
    <w:rsid w:val="005665B9"/>
    <w:rsid w:val="00567E82"/>
    <w:rsid w:val="00590B95"/>
    <w:rsid w:val="005A0C5E"/>
    <w:rsid w:val="005B4043"/>
    <w:rsid w:val="005C1B98"/>
    <w:rsid w:val="005C4D03"/>
    <w:rsid w:val="005C59B6"/>
    <w:rsid w:val="005F2011"/>
    <w:rsid w:val="00613382"/>
    <w:rsid w:val="00622FB2"/>
    <w:rsid w:val="00632215"/>
    <w:rsid w:val="00637296"/>
    <w:rsid w:val="006552A6"/>
    <w:rsid w:val="006567F6"/>
    <w:rsid w:val="00660147"/>
    <w:rsid w:val="0068172F"/>
    <w:rsid w:val="00682753"/>
    <w:rsid w:val="00687847"/>
    <w:rsid w:val="00690DE8"/>
    <w:rsid w:val="00693771"/>
    <w:rsid w:val="006A0E13"/>
    <w:rsid w:val="006A2651"/>
    <w:rsid w:val="006A60E2"/>
    <w:rsid w:val="006A69D6"/>
    <w:rsid w:val="006B0362"/>
    <w:rsid w:val="006B21A1"/>
    <w:rsid w:val="006B7B5F"/>
    <w:rsid w:val="006C1B61"/>
    <w:rsid w:val="007002A3"/>
    <w:rsid w:val="00733F9C"/>
    <w:rsid w:val="007421D4"/>
    <w:rsid w:val="007517A6"/>
    <w:rsid w:val="00777822"/>
    <w:rsid w:val="00777F3E"/>
    <w:rsid w:val="00785B64"/>
    <w:rsid w:val="007877B5"/>
    <w:rsid w:val="00796973"/>
    <w:rsid w:val="007A0149"/>
    <w:rsid w:val="007A7BC2"/>
    <w:rsid w:val="007C4ECF"/>
    <w:rsid w:val="007C7A0D"/>
    <w:rsid w:val="007F6E7B"/>
    <w:rsid w:val="008166E7"/>
    <w:rsid w:val="0084026A"/>
    <w:rsid w:val="00851DF2"/>
    <w:rsid w:val="00864A95"/>
    <w:rsid w:val="00870B0E"/>
    <w:rsid w:val="00882033"/>
    <w:rsid w:val="008A5682"/>
    <w:rsid w:val="008C5B75"/>
    <w:rsid w:val="008D0347"/>
    <w:rsid w:val="008E20AC"/>
    <w:rsid w:val="00920C19"/>
    <w:rsid w:val="00937AE0"/>
    <w:rsid w:val="00991603"/>
    <w:rsid w:val="009947D0"/>
    <w:rsid w:val="009A2556"/>
    <w:rsid w:val="009B3F27"/>
    <w:rsid w:val="009B76FA"/>
    <w:rsid w:val="009C28DC"/>
    <w:rsid w:val="009D1846"/>
    <w:rsid w:val="009E73E1"/>
    <w:rsid w:val="00A0372B"/>
    <w:rsid w:val="00A14526"/>
    <w:rsid w:val="00A21153"/>
    <w:rsid w:val="00A46EFE"/>
    <w:rsid w:val="00A80113"/>
    <w:rsid w:val="00AA6894"/>
    <w:rsid w:val="00AF2B92"/>
    <w:rsid w:val="00B00D0B"/>
    <w:rsid w:val="00B032EA"/>
    <w:rsid w:val="00B05133"/>
    <w:rsid w:val="00B0642E"/>
    <w:rsid w:val="00B07AB3"/>
    <w:rsid w:val="00B400C7"/>
    <w:rsid w:val="00B41AFA"/>
    <w:rsid w:val="00B53BC1"/>
    <w:rsid w:val="00B62C33"/>
    <w:rsid w:val="00B64AC1"/>
    <w:rsid w:val="00B72B02"/>
    <w:rsid w:val="00B866FB"/>
    <w:rsid w:val="00B90B93"/>
    <w:rsid w:val="00BB7E75"/>
    <w:rsid w:val="00BC277D"/>
    <w:rsid w:val="00BD6664"/>
    <w:rsid w:val="00BE34A9"/>
    <w:rsid w:val="00C2185F"/>
    <w:rsid w:val="00C3137D"/>
    <w:rsid w:val="00C41B63"/>
    <w:rsid w:val="00C42653"/>
    <w:rsid w:val="00C462FF"/>
    <w:rsid w:val="00C47116"/>
    <w:rsid w:val="00C54F1C"/>
    <w:rsid w:val="00C6144E"/>
    <w:rsid w:val="00C73D13"/>
    <w:rsid w:val="00C86815"/>
    <w:rsid w:val="00CB16B8"/>
    <w:rsid w:val="00CC3032"/>
    <w:rsid w:val="00CE7043"/>
    <w:rsid w:val="00CE7F6F"/>
    <w:rsid w:val="00D219F5"/>
    <w:rsid w:val="00D41854"/>
    <w:rsid w:val="00D50F95"/>
    <w:rsid w:val="00D62B11"/>
    <w:rsid w:val="00D67646"/>
    <w:rsid w:val="00D67F2E"/>
    <w:rsid w:val="00D75BC1"/>
    <w:rsid w:val="00D81F7E"/>
    <w:rsid w:val="00D91D01"/>
    <w:rsid w:val="00DC0B04"/>
    <w:rsid w:val="00DC131F"/>
    <w:rsid w:val="00DC5FDB"/>
    <w:rsid w:val="00DF1DC7"/>
    <w:rsid w:val="00DF3346"/>
    <w:rsid w:val="00E2027F"/>
    <w:rsid w:val="00E20B2B"/>
    <w:rsid w:val="00E5075B"/>
    <w:rsid w:val="00E50CA2"/>
    <w:rsid w:val="00E621F4"/>
    <w:rsid w:val="00E647F5"/>
    <w:rsid w:val="00E77617"/>
    <w:rsid w:val="00EB6734"/>
    <w:rsid w:val="00ED34A1"/>
    <w:rsid w:val="00EE0C9F"/>
    <w:rsid w:val="00EE50B3"/>
    <w:rsid w:val="00F1196C"/>
    <w:rsid w:val="00F12D68"/>
    <w:rsid w:val="00F14BF4"/>
    <w:rsid w:val="00F22A91"/>
    <w:rsid w:val="00F9319D"/>
    <w:rsid w:val="00FB044F"/>
    <w:rsid w:val="00FB6436"/>
    <w:rsid w:val="00FC2A0F"/>
    <w:rsid w:val="00FD3AC7"/>
    <w:rsid w:val="00FD65D7"/>
    <w:rsid w:val="00FE2D0B"/>
    <w:rsid w:val="00FE76B3"/>
    <w:rsid w:val="00FF1891"/>
    <w:rsid w:val="00FF4E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3382"/>
    <w:rPr>
      <w:i/>
      <w:color w:val="auto"/>
      <w:bdr w:val="none" w:sz="0" w:space="0" w:color="auto"/>
      <w:shd w:val="clear" w:color="auto" w:fill="auto"/>
    </w:rPr>
  </w:style>
  <w:style w:type="paragraph" w:customStyle="1" w:styleId="3E70840594124E1BA78B4FC551C0FAE9">
    <w:name w:val="3E70840594124E1BA78B4FC551C0FAE9"/>
  </w:style>
  <w:style w:type="paragraph" w:customStyle="1" w:styleId="A9360176820C4201B243F3572091DEB7">
    <w:name w:val="A9360176820C4201B243F3572091DEB7"/>
  </w:style>
  <w:style w:type="paragraph" w:customStyle="1" w:styleId="FFC4A7BDBA77435EB3CB2E799667C79A">
    <w:name w:val="FFC4A7BDBA77435EB3CB2E799667C79A"/>
  </w:style>
  <w:style w:type="paragraph" w:customStyle="1" w:styleId="1828A7126B6A4AE3B7BFBBE87B33D972">
    <w:name w:val="1828A7126B6A4AE3B7BFBBE87B33D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2.xml><?xml version="1.0" encoding="utf-8"?>
<ds:datastoreItem xmlns:ds="http://schemas.openxmlformats.org/officeDocument/2006/customXml" ds:itemID="{16DE3A34-C3A1-428C-8D8A-C0C1437A268F}">
  <ds:schemaRefs>
    <ds:schemaRef ds:uri="http://schemas.microsoft.com/office/infopath/2007/PartnerControls"/>
    <ds:schemaRef ds:uri="http://schemas.microsoft.com/office/2006/documentManagement/types"/>
    <ds:schemaRef ds:uri="http://purl.org/dc/elements/1.1/"/>
    <ds:schemaRef ds:uri="http://www.w3.org/XML/1998/namespace"/>
    <ds:schemaRef ds:uri="fb1c2c90-7ebb-4f49-9b69-8e3e86b86080"/>
    <ds:schemaRef ds:uri="fe36b737-7a15-45c9-aa55-60b829812b9c"/>
    <ds:schemaRef ds:uri="7e6efeb2-6871-4338-8041-a3189fc08d76"/>
    <ds:schemaRef ds:uri="http://schemas.microsoft.com/office/2006/metadata/properti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CE9AFD24-F471-4BF1-AF9D-79BDCA2B4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25a695a3-ddbc-4fff-bbf7-686c31f786d3}" enabled="1" method="Privileged" siteId="{a394e41c-cf8d-458e-ac1b-ddae1aa15629}" removed="0"/>
</clbl:labelList>
</file>

<file path=docProps/app.xml><?xml version="1.0" encoding="utf-8"?>
<Properties xmlns="http://schemas.openxmlformats.org/officeDocument/2006/extended-properties" xmlns:vt="http://schemas.openxmlformats.org/officeDocument/2006/docPropsVTypes">
  <Template>1-001-ANS-0000-EES-TE-0002_5.0</Template>
  <TotalTime>22</TotalTime>
  <Pages>23</Pages>
  <Words>8651</Words>
  <Characters>49313</Characters>
  <Application>Microsoft Office Word</Application>
  <DocSecurity>8</DocSecurity>
  <Lines>410</Lines>
  <Paragraphs>115</Paragraphs>
  <ScaleCrop>false</ScaleCrop>
  <HeadingPairs>
    <vt:vector size="2" baseType="variant">
      <vt:variant>
        <vt:lpstr>Title</vt:lpstr>
      </vt:variant>
      <vt:variant>
        <vt:i4>1</vt:i4>
      </vt:variant>
    </vt:vector>
  </HeadingPairs>
  <TitlesOfParts>
    <vt:vector size="1" baseType="lpstr">
      <vt:lpstr>Chapter 24: Groundwater</vt:lpstr>
    </vt:vector>
  </TitlesOfParts>
  <Company/>
  <LinksUpToDate>false</LinksUpToDate>
  <CharactersWithSpaces>57849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24: Groundwater</dc:title>
  <dc:subject/>
  <dc:creator/>
  <cp:keywords/>
  <dc:description/>
  <cp:lastPrinted>2025-02-26T06:47:00Z</cp:lastPrinted>
  <dcterms:created xsi:type="dcterms:W3CDTF">2025-05-22T07:29:00Z</dcterms:created>
  <dcterms:modified xsi:type="dcterms:W3CDTF">2025-06-19T01:11:00Z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158b1204,117a951c,442ce483,77047d1c,1dd33681,66f4fcee,4062e4d7,7378ee2,6e7ac016,75d96579,7476033e,6db766ed,386cd5f3,2330dd54,5d773f4b,6d8fcc60,69e3a137,1504915d,205ab7e9,6f655a7a,75de3297,19cc0200,70980186</vt:lpwstr>
  </property>
  <property fmtid="{D5CDD505-2E9C-101B-9397-08002B2CF9AE}" pid="3" name="ClassificationContentMarkingFooterFontProps">
    <vt:lpwstr>#7f7f7f,7,Century Gothic</vt:lpwstr>
  </property>
  <property fmtid="{D5CDD505-2E9C-101B-9397-08002B2CF9AE}" pid="4" name="ClassificationContentMarkingFooterText">
    <vt:lpwstr>PUBLIC</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y fmtid="{D5CDD505-2E9C-101B-9397-08002B2CF9AE}" pid="14" name="Folder_Number">
    <vt:lpwstr/>
  </property>
  <property fmtid="{D5CDD505-2E9C-101B-9397-08002B2CF9AE}" pid="15" name="Folder_Code">
    <vt:lpwstr/>
  </property>
  <property fmtid="{D5CDD505-2E9C-101B-9397-08002B2CF9AE}" pid="16" name="Folder_Name">
    <vt:lpwstr/>
  </property>
  <property fmtid="{D5CDD505-2E9C-101B-9397-08002B2CF9AE}" pid="17" name="Folder_Description">
    <vt:lpwstr/>
  </property>
  <property fmtid="{D5CDD505-2E9C-101B-9397-08002B2CF9AE}" pid="18" name="/Folder_Name/">
    <vt:lpwstr/>
  </property>
  <property fmtid="{D5CDD505-2E9C-101B-9397-08002B2CF9AE}" pid="19" name="/Folder_Description/">
    <vt:lpwstr/>
  </property>
  <property fmtid="{D5CDD505-2E9C-101B-9397-08002B2CF9AE}" pid="20" name="Folder_Version">
    <vt:lpwstr/>
  </property>
  <property fmtid="{D5CDD505-2E9C-101B-9397-08002B2CF9AE}" pid="21" name="Folder_VersionSeq">
    <vt:lpwstr/>
  </property>
  <property fmtid="{D5CDD505-2E9C-101B-9397-08002B2CF9AE}" pid="22" name="Folder_Manager">
    <vt:lpwstr/>
  </property>
  <property fmtid="{D5CDD505-2E9C-101B-9397-08002B2CF9AE}" pid="23" name="Folder_ManagerDesc">
    <vt:lpwstr/>
  </property>
  <property fmtid="{D5CDD505-2E9C-101B-9397-08002B2CF9AE}" pid="24" name="Folder_Storage">
    <vt:lpwstr/>
  </property>
  <property fmtid="{D5CDD505-2E9C-101B-9397-08002B2CF9AE}" pid="25" name="Folder_StorageDesc">
    <vt:lpwstr/>
  </property>
  <property fmtid="{D5CDD505-2E9C-101B-9397-08002B2CF9AE}" pid="26" name="Folder_Creator">
    <vt:lpwstr/>
  </property>
  <property fmtid="{D5CDD505-2E9C-101B-9397-08002B2CF9AE}" pid="27" name="Folder_CreatorDesc">
    <vt:lpwstr/>
  </property>
  <property fmtid="{D5CDD505-2E9C-101B-9397-08002B2CF9AE}" pid="28" name="Folder_CreateDate">
    <vt:lpwstr/>
  </property>
  <property fmtid="{D5CDD505-2E9C-101B-9397-08002B2CF9AE}" pid="29" name="Folder_Updater">
    <vt:lpwstr/>
  </property>
  <property fmtid="{D5CDD505-2E9C-101B-9397-08002B2CF9AE}" pid="30" name="Folder_UpdaterDesc">
    <vt:lpwstr/>
  </property>
  <property fmtid="{D5CDD505-2E9C-101B-9397-08002B2CF9AE}" pid="31" name="Folder_UpdateDate">
    <vt:lpwstr/>
  </property>
  <property fmtid="{D5CDD505-2E9C-101B-9397-08002B2CF9AE}" pid="32" name="Document_Number">
    <vt:lpwstr/>
  </property>
  <property fmtid="{D5CDD505-2E9C-101B-9397-08002B2CF9AE}" pid="33" name="Document_Name">
    <vt:lpwstr/>
  </property>
  <property fmtid="{D5CDD505-2E9C-101B-9397-08002B2CF9AE}" pid="34" name="Document_FileName">
    <vt:lpwstr/>
  </property>
  <property fmtid="{D5CDD505-2E9C-101B-9397-08002B2CF9AE}" pid="35" name="Document_Version">
    <vt:lpwstr/>
  </property>
  <property fmtid="{D5CDD505-2E9C-101B-9397-08002B2CF9AE}" pid="36" name="Document_VersionSeq">
    <vt:lpwstr/>
  </property>
  <property fmtid="{D5CDD505-2E9C-101B-9397-08002B2CF9AE}" pid="37" name="Document_Creator">
    <vt:lpwstr/>
  </property>
  <property fmtid="{D5CDD505-2E9C-101B-9397-08002B2CF9AE}" pid="38" name="Document_CreatorDesc">
    <vt:lpwstr/>
  </property>
  <property fmtid="{D5CDD505-2E9C-101B-9397-08002B2CF9AE}" pid="39" name="Document_CreateDate">
    <vt:lpwstr/>
  </property>
  <property fmtid="{D5CDD505-2E9C-101B-9397-08002B2CF9AE}" pid="40" name="Document_Updater">
    <vt:lpwstr/>
  </property>
  <property fmtid="{D5CDD505-2E9C-101B-9397-08002B2CF9AE}" pid="41" name="Document_UpdaterDesc">
    <vt:lpwstr/>
  </property>
  <property fmtid="{D5CDD505-2E9C-101B-9397-08002B2CF9AE}" pid="42" name="Document_UpdateDate">
    <vt:lpwstr/>
  </property>
  <property fmtid="{D5CDD505-2E9C-101B-9397-08002B2CF9AE}" pid="43" name="Document_Size">
    <vt:lpwstr/>
  </property>
  <property fmtid="{D5CDD505-2E9C-101B-9397-08002B2CF9AE}" pid="44" name="Document_Storage">
    <vt:lpwstr/>
  </property>
  <property fmtid="{D5CDD505-2E9C-101B-9397-08002B2CF9AE}" pid="45" name="Document_StorageDesc">
    <vt:lpwstr/>
  </property>
  <property fmtid="{D5CDD505-2E9C-101B-9397-08002B2CF9AE}" pid="46" name="Document_Department">
    <vt:lpwstr/>
  </property>
  <property fmtid="{D5CDD505-2E9C-101B-9397-08002B2CF9AE}" pid="47" name="Document_DepartmentDesc">
    <vt:lpwstr/>
  </property>
  <property fmtid="{D5CDD505-2E9C-101B-9397-08002B2CF9AE}" pid="48" name="ClassificationContentMarkingFooterShapeIds-1">
    <vt:lpwstr>5e20e370,4fdeb65a,503bc4,67768d14,2a216675</vt:lpwstr>
  </property>
</Properties>
</file>