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19D8" w14:textId="77777777" w:rsidR="004F78E5" w:rsidRDefault="004F78E5" w:rsidP="004F57C2">
      <w:pPr>
        <w:pStyle w:val="CoverDetails"/>
        <w:framePr w:wrap="around"/>
      </w:pPr>
      <w:r>
        <w:rPr>
          <w:noProof/>
        </w:rPr>
        <mc:AlternateContent>
          <mc:Choice Requires="wps">
            <w:drawing>
              <wp:inline distT="0" distB="0" distL="0" distR="0" wp14:anchorId="3F20EF0F" wp14:editId="6D7FE757">
                <wp:extent cx="4860000" cy="360000"/>
                <wp:effectExtent l="0" t="0" r="0" b="25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000" cy="360000"/>
                        </a:xfrm>
                        <a:prstGeom prst="rect">
                          <a:avLst/>
                        </a:prstGeom>
                        <a:noFill/>
                        <a:ln w="9525">
                          <a:noFill/>
                          <a:miter lim="800000"/>
                          <a:headEnd/>
                          <a:tailEnd/>
                        </a:ln>
                      </wps:spPr>
                      <wps:txbx>
                        <w:txbxContent>
                          <w:p w14:paraId="4059BF0F" w14:textId="77777777" w:rsidR="00590568" w:rsidRDefault="00590568" w:rsidP="00590568">
                            <w:pPr>
                              <w:pStyle w:val="CoverDetails"/>
                            </w:pPr>
                            <w:r>
                              <w:t xml:space="preserve">AusNet Transmission Group Pty Ltd is an independent </w:t>
                            </w:r>
                          </w:p>
                          <w:p w14:paraId="4E037E89" w14:textId="034E0DBD" w:rsidR="004F78E5" w:rsidRPr="00CC3D0E" w:rsidRDefault="00590568" w:rsidP="00590568">
                            <w:pPr>
                              <w:pStyle w:val="CoverDetails"/>
                            </w:pPr>
                            <w:r>
                              <w:t>subsidiary of AusNet</w:t>
                            </w:r>
                            <w:r w:rsidR="00D11F74">
                              <w:t xml:space="preserve"> </w:t>
                            </w:r>
                            <w:r w:rsidR="005860AD">
                              <w:t>Pty</w:t>
                            </w:r>
                            <w:r>
                              <w:t xml:space="preserve"> Ltd ABN 45 603 317 559</w:t>
                            </w:r>
                          </w:p>
                        </w:txbxContent>
                      </wps:txbx>
                      <wps:bodyPr rot="0" vert="horz" wrap="square" lIns="0" tIns="0" rIns="0" bIns="0" anchor="t" anchorCtr="0">
                        <a:spAutoFit/>
                      </wps:bodyPr>
                    </wps:wsp>
                  </a:graphicData>
                </a:graphic>
              </wp:inline>
            </w:drawing>
          </mc:Choice>
          <mc:Fallback>
            <w:pict>
              <v:shapetype w14:anchorId="3F20EF0F" id="_x0000_t202" coordsize="21600,21600" o:spt="202" path="m,l,21600r21600,l21600,xe">
                <v:stroke joinstyle="miter"/>
                <v:path gradientshapeok="t" o:connecttype="rect"/>
              </v:shapetype>
              <v:shape id="Text Box 2" o:spid="_x0000_s1026" type="#_x0000_t202" style="width:382.7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J6gEAAL0DAAAOAAAAZHJzL2Uyb0RvYy54bWysU9uO0zAQfUfiHyy/07SFXZWo6WrZpQhp&#10;uUgLH+A4TmNhe4zHbVK+nrGTdFfwhsiDNY49Z+acOd7eDNawkwqowVV8tVhyppyERrtDxb9/27/a&#10;cIZRuEYYcKriZ4X8Zvfyxbb3pVpDB6ZRgRGIw7L3Fe9i9GVRoOyUFbgArxwdthCsiLQNh6IJoid0&#10;a4r1cnld9BAaH0AqRPp7Px7yXcZvWyXjl7ZFFZmpOPUW8xryWqe12G1FeQjCd1pObYh/6MIK7ajo&#10;BepeRMGOQf8FZbUMgNDGhQRbQNtqqTIHYrNa/sHmsRNeZS4kDvqLTPj/YOXn06P/Glgc3sFAA8wk&#10;0D+A/IHMwV0n3EHdhgB9p0RDhVdJsqL3WE6pSWosMYHU/SdoaMjiGCEDDW2wSRXiyQidBnC+iK6G&#10;yCT9fLO5XtLHmaSz12OcSohyzvYB4wcFlqWg4oGGmtHF6QHjeHW+koo52Gtj8mCNY33F316tr3LC&#10;sxOrI/nOaFvxTSo/OSGRfO+anByFNmNMvRg3sU5ER8pxqAe6mNjX0JyJf4DRX/QeKOgg/OKsJ29V&#10;HH8eRVCcmY+ONExGnIMwB/UcCCcpteKRszG8i9mwiRv6W9J2rzPtp8pTb+SRLNzk52TC5/t86+nV&#10;7X4DAAD//wMAUEsDBBQABgAIAAAAIQBUcoT92wAAAAQBAAAPAAAAZHJzL2Rvd25yZXYueG1sTI/B&#10;TsMwEETvSP0Ha5G4IOqkomkbsqkqBBdutL1wc+MlibDXUewmoV+P4UIvK41mNPO22E7WiIF63zpG&#10;SOcJCOLK6ZZrhOPh9WENwgfFWhnHhPBNHrbl7KZQuXYjv9OwD7WIJexzhdCE0OVS+qohq/zcdcTR&#10;+3S9VSHKvpa6V2Mst0YukiSTVrUcFxrV0XND1df+bBGy6aW7f9vQYrxUZuCPS5oGShHvbqfdE4hA&#10;U/gPwy9+RIcyMp3cmbUXBiE+Ev5u9FbZ8hHECWGZrUCWhbyGL38AAAD//wMAUEsBAi0AFAAGAAgA&#10;AAAhALaDOJL+AAAA4QEAABMAAAAAAAAAAAAAAAAAAAAAAFtDb250ZW50X1R5cGVzXS54bWxQSwEC&#10;LQAUAAYACAAAACEAOP0h/9YAAACUAQAACwAAAAAAAAAAAAAAAAAvAQAAX3JlbHMvLnJlbHNQSwEC&#10;LQAUAAYACAAAACEAVnRvyeoBAAC9AwAADgAAAAAAAAAAAAAAAAAuAgAAZHJzL2Uyb0RvYy54bWxQ&#10;SwECLQAUAAYACAAAACEAVHKE/dsAAAAEAQAADwAAAAAAAAAAAAAAAABEBAAAZHJzL2Rvd25yZXYu&#10;eG1sUEsFBgAAAAAEAAQA8wAAAEwFAAAAAA==&#10;" filled="f" stroked="f">
                <v:textbox style="mso-fit-shape-to-text:t" inset="0,0,0,0">
                  <w:txbxContent>
                    <w:p w14:paraId="4059BF0F" w14:textId="77777777" w:rsidR="00590568" w:rsidRDefault="00590568" w:rsidP="00590568">
                      <w:pPr>
                        <w:pStyle w:val="CoverDetails"/>
                      </w:pPr>
                      <w:r>
                        <w:t xml:space="preserve">AusNet Transmission Group Pty Ltd is an independent </w:t>
                      </w:r>
                    </w:p>
                    <w:p w14:paraId="4E037E89" w14:textId="034E0DBD" w:rsidR="004F78E5" w:rsidRPr="00CC3D0E" w:rsidRDefault="00590568" w:rsidP="00590568">
                      <w:pPr>
                        <w:pStyle w:val="CoverDetails"/>
                      </w:pPr>
                      <w:r>
                        <w:t>subsidiary of AusNet</w:t>
                      </w:r>
                      <w:r w:rsidR="00D11F74">
                        <w:t xml:space="preserve"> </w:t>
                      </w:r>
                      <w:r w:rsidR="005860AD">
                        <w:t>Pty</w:t>
                      </w:r>
                      <w:r>
                        <w:t xml:space="preserve"> Ltd ABN 45 603 317 559</w:t>
                      </w:r>
                    </w:p>
                  </w:txbxContent>
                </v:textbox>
                <w10:anchorlock/>
              </v:shape>
            </w:pict>
          </mc:Fallback>
        </mc:AlternateContent>
      </w:r>
    </w:p>
    <w:sdt>
      <w:sdtPr>
        <w:id w:val="-1882475711"/>
        <w:lock w:val="contentLocked"/>
        <w:placeholder>
          <w:docPart w:val="3098CCFC1C084B27A0835ABE43BA481F"/>
        </w:placeholder>
        <w:group/>
      </w:sdtPr>
      <w:sdtEndPr/>
      <w:sdtContent>
        <w:p w14:paraId="4B1C5566" w14:textId="77777777" w:rsidR="0081673B" w:rsidRDefault="0081673B" w:rsidP="0081673B">
          <w:pPr>
            <w:pStyle w:val="CoverLogo"/>
            <w:framePr w:wrap="around"/>
          </w:pPr>
          <w:r w:rsidRPr="0081673B">
            <w:rPr>
              <w:noProof/>
            </w:rPr>
            <w:drawing>
              <wp:inline distT="0" distB="0" distL="0" distR="0" wp14:anchorId="5EDAED17" wp14:editId="26350502">
                <wp:extent cx="612000" cy="389232"/>
                <wp:effectExtent l="0" t="0" r="0" b="0"/>
                <wp:docPr id="5" name="Picture 4" descr="Text&#10;&#10;Description automatically generated">
                  <a:extLst xmlns:a="http://schemas.openxmlformats.org/drawingml/2006/main">
                    <a:ext uri="{FF2B5EF4-FFF2-40B4-BE49-F238E27FC236}">
                      <a16:creationId xmlns:a16="http://schemas.microsoft.com/office/drawing/2014/main" id="{0FEC7ECD-EE42-3258-0E3A-A3A96EE58C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0FEC7ECD-EE42-3258-0E3A-A3A96EE58CA2}"/>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9219"/>
                        <a:stretch/>
                      </pic:blipFill>
                      <pic:spPr bwMode="auto">
                        <a:xfrm>
                          <a:off x="0" y="0"/>
                          <a:ext cx="612000" cy="389232"/>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3A6F4C0B" w14:textId="70A464B0" w:rsidR="005705E9" w:rsidRPr="005705E9" w:rsidRDefault="00666A4C" w:rsidP="00DF38A5">
      <w:r>
        <w:rPr>
          <w:noProof/>
        </w:rPr>
        <w:drawing>
          <wp:anchor distT="0" distB="0" distL="114300" distR="114300" simplePos="0" relativeHeight="251658240" behindDoc="0" locked="0" layoutInCell="1" allowOverlap="1" wp14:anchorId="61B3C053" wp14:editId="2DD0E2F5">
            <wp:simplePos x="0" y="0"/>
            <wp:positionH relativeFrom="margin">
              <wp:posOffset>-899814</wp:posOffset>
            </wp:positionH>
            <wp:positionV relativeFrom="margin">
              <wp:posOffset>-900430</wp:posOffset>
            </wp:positionV>
            <wp:extent cx="7558767" cy="10692000"/>
            <wp:effectExtent l="0" t="0" r="4445"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58767"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5110B" w14:textId="45F20486" w:rsidR="00132002" w:rsidRDefault="00132002">
      <w:pPr>
        <w:spacing w:after="160"/>
      </w:pPr>
    </w:p>
    <w:p w14:paraId="552BC509" w14:textId="77777777" w:rsidR="007B29C4" w:rsidRDefault="007B29C4">
      <w:pPr>
        <w:spacing w:after="160"/>
        <w:sectPr w:rsidR="007B29C4" w:rsidSect="008A6FBC">
          <w:headerReference w:type="even" r:id="rId13"/>
          <w:headerReference w:type="default" r:id="rId14"/>
          <w:footerReference w:type="even" r:id="rId15"/>
          <w:footerReference w:type="default" r:id="rId16"/>
          <w:footerReference w:type="first" r:id="rId17"/>
          <w:pgSz w:w="11906" w:h="16838" w:code="9"/>
          <w:pgMar w:top="1418" w:right="1418" w:bottom="1418" w:left="1418" w:header="1134" w:footer="340" w:gutter="0"/>
          <w:cols w:space="708"/>
          <w:titlePg/>
          <w:docGrid w:linePitch="360"/>
        </w:sectPr>
      </w:pPr>
    </w:p>
    <w:p w14:paraId="6ED7DA1F" w14:textId="6687C0DF" w:rsidR="00DB680C" w:rsidRPr="00DB680C" w:rsidRDefault="00DB680C" w:rsidP="00DB680C">
      <w:pPr>
        <w:pStyle w:val="BG"/>
        <w:framePr w:wrap="around"/>
      </w:pPr>
    </w:p>
    <w:p w14:paraId="790343FA" w14:textId="47DF514B" w:rsidR="00517C08" w:rsidRDefault="005637ED" w:rsidP="00814971">
      <w:pPr>
        <w:pStyle w:val="Heading1"/>
      </w:pPr>
      <w:bookmarkStart w:id="0" w:name="_Toc182582718"/>
      <w:bookmarkStart w:id="1" w:name="_Toc201071035"/>
      <w:r>
        <w:t>Greenhouse gas</w:t>
      </w:r>
      <w:bookmarkEnd w:id="0"/>
      <w:bookmarkEnd w:id="1"/>
    </w:p>
    <w:p w14:paraId="3ECADD0C" w14:textId="6D0017A1" w:rsidR="00A14C55" w:rsidRDefault="00A14C55" w:rsidP="00A14C55">
      <w:pPr>
        <w:pStyle w:val="Introduction"/>
        <w:rPr>
          <w:lang w:val="en-GB"/>
        </w:rPr>
      </w:pPr>
      <w:r w:rsidRPr="686DF24D">
        <w:rPr>
          <w:lang w:val="en-GB"/>
        </w:rPr>
        <w:t>This chapter</w:t>
      </w:r>
      <w:r w:rsidR="007C3911">
        <w:rPr>
          <w:lang w:val="en-GB"/>
        </w:rPr>
        <w:t xml:space="preserve"> provides </w:t>
      </w:r>
      <w:r w:rsidR="0034790D">
        <w:rPr>
          <w:lang w:val="en-GB"/>
        </w:rPr>
        <w:t>a</w:t>
      </w:r>
      <w:r w:rsidR="00872C8E">
        <w:rPr>
          <w:lang w:val="en-GB"/>
        </w:rPr>
        <w:t>n overview</w:t>
      </w:r>
      <w:r w:rsidR="00B135FE">
        <w:rPr>
          <w:lang w:val="en-GB"/>
        </w:rPr>
        <w:t xml:space="preserve"> </w:t>
      </w:r>
      <w:r w:rsidR="007C3911">
        <w:rPr>
          <w:lang w:val="en-GB"/>
        </w:rPr>
        <w:t>of the</w:t>
      </w:r>
      <w:r w:rsidR="005637ED">
        <w:rPr>
          <w:lang w:val="en-GB"/>
        </w:rPr>
        <w:t xml:space="preserve"> </w:t>
      </w:r>
      <w:r w:rsidR="00814971">
        <w:rPr>
          <w:lang w:val="en-GB"/>
        </w:rPr>
        <w:t xml:space="preserve">potential </w:t>
      </w:r>
      <w:r w:rsidR="005637ED">
        <w:rPr>
          <w:lang w:val="en-GB"/>
        </w:rPr>
        <w:t>greenhouse gas</w:t>
      </w:r>
      <w:r w:rsidR="007C3911">
        <w:rPr>
          <w:lang w:val="en-GB"/>
        </w:rPr>
        <w:t xml:space="preserve"> impacts associated with the construction, operation and decommissioning of the Project. This chapter is based on </w:t>
      </w:r>
      <w:r w:rsidR="00E955B6" w:rsidRPr="00196482">
        <w:rPr>
          <w:b/>
          <w:bCs/>
          <w:lang w:val="en-GB"/>
        </w:rPr>
        <w:t xml:space="preserve">Technical Report </w:t>
      </w:r>
      <w:r w:rsidR="00FE03EA">
        <w:rPr>
          <w:b/>
          <w:bCs/>
          <w:lang w:val="en-GB"/>
        </w:rPr>
        <w:t>M</w:t>
      </w:r>
      <w:r w:rsidR="00E955B6" w:rsidRPr="00196482">
        <w:rPr>
          <w:b/>
          <w:bCs/>
          <w:lang w:val="en-GB"/>
        </w:rPr>
        <w:t xml:space="preserve">: </w:t>
      </w:r>
      <w:r w:rsidR="00620D79">
        <w:rPr>
          <w:b/>
          <w:bCs/>
          <w:lang w:val="en-GB"/>
        </w:rPr>
        <w:t xml:space="preserve">Greenhouse </w:t>
      </w:r>
      <w:r w:rsidR="000F7D40">
        <w:rPr>
          <w:b/>
          <w:bCs/>
          <w:lang w:val="en-GB"/>
        </w:rPr>
        <w:t>G</w:t>
      </w:r>
      <w:r w:rsidR="00620D79">
        <w:rPr>
          <w:b/>
          <w:bCs/>
          <w:lang w:val="en-GB"/>
        </w:rPr>
        <w:t>as</w:t>
      </w:r>
      <w:r w:rsidR="00115BF9">
        <w:rPr>
          <w:b/>
          <w:bCs/>
          <w:lang w:val="en-GB"/>
        </w:rPr>
        <w:t xml:space="preserve"> Impact Assessment</w:t>
      </w:r>
      <w:r w:rsidRPr="686DF24D">
        <w:rPr>
          <w:lang w:val="en-GB"/>
        </w:rPr>
        <w:t xml:space="preserve">. </w:t>
      </w:r>
    </w:p>
    <w:p w14:paraId="6B5B7157" w14:textId="5665964B" w:rsidR="009C08ED" w:rsidRDefault="00AF4AAB" w:rsidP="00A14C55">
      <w:pPr>
        <w:spacing w:after="60"/>
      </w:pPr>
      <w:r>
        <w:t>H</w:t>
      </w:r>
      <w:r w:rsidR="009C08ED" w:rsidRPr="00EB71B2">
        <w:t>uman induced climate change and its impacts</w:t>
      </w:r>
      <w:r>
        <w:t xml:space="preserve"> have prompted </w:t>
      </w:r>
      <w:r w:rsidR="009C08ED">
        <w:t>the Commonwealth</w:t>
      </w:r>
      <w:r w:rsidR="009C08ED" w:rsidRPr="00EB71B2">
        <w:t xml:space="preserve"> and </w:t>
      </w:r>
      <w:r w:rsidR="009C08ED">
        <w:t>S</w:t>
      </w:r>
      <w:r w:rsidR="009C08ED" w:rsidRPr="00EB71B2">
        <w:t xml:space="preserve">tate </w:t>
      </w:r>
      <w:r w:rsidR="009C08ED">
        <w:t>G</w:t>
      </w:r>
      <w:r w:rsidR="009C08ED" w:rsidRPr="00EB71B2">
        <w:t xml:space="preserve">overnments </w:t>
      </w:r>
      <w:r>
        <w:t>to</w:t>
      </w:r>
      <w:r w:rsidRPr="00EB71B2">
        <w:t xml:space="preserve"> </w:t>
      </w:r>
      <w:r w:rsidR="009C08ED" w:rsidRPr="00EB71B2">
        <w:t xml:space="preserve">set targets </w:t>
      </w:r>
      <w:r>
        <w:t>to</w:t>
      </w:r>
      <w:r w:rsidR="009C08ED" w:rsidRPr="00EB71B2">
        <w:t xml:space="preserve"> reduc</w:t>
      </w:r>
      <w:r w:rsidR="00D579FD">
        <w:t>e</w:t>
      </w:r>
      <w:r w:rsidR="009C08ED" w:rsidRPr="00EB71B2">
        <w:t xml:space="preserve"> and mitigat</w:t>
      </w:r>
      <w:r>
        <w:t>e</w:t>
      </w:r>
      <w:r w:rsidR="009C08ED" w:rsidRPr="00EB71B2">
        <w:t xml:space="preserve"> </w:t>
      </w:r>
      <w:r w:rsidR="009C08ED">
        <w:t>greenhouse gas</w:t>
      </w:r>
      <w:r w:rsidR="009C08ED" w:rsidRPr="00EB71B2">
        <w:t xml:space="preserve"> emissions.</w:t>
      </w:r>
      <w:r w:rsidR="00EA4478">
        <w:t xml:space="preserve"> </w:t>
      </w:r>
      <w:r w:rsidR="00D579FD">
        <w:t xml:space="preserve">The Project will generate greenhouse </w:t>
      </w:r>
      <w:r w:rsidR="00EA4478">
        <w:t>gas</w:t>
      </w:r>
      <w:r w:rsidR="00F0417C">
        <w:t xml:space="preserve"> emissions</w:t>
      </w:r>
      <w:r w:rsidR="00EA4478" w:rsidRPr="00EB71B2">
        <w:t xml:space="preserve"> </w:t>
      </w:r>
      <w:r w:rsidR="00EA4478">
        <w:t>during</w:t>
      </w:r>
      <w:r w:rsidR="00EA4478" w:rsidRPr="00EB71B2">
        <w:t xml:space="preserve"> construction</w:t>
      </w:r>
      <w:r w:rsidR="00EA4478">
        <w:t>,</w:t>
      </w:r>
      <w:r w:rsidR="00EA4478" w:rsidRPr="00EB71B2">
        <w:t xml:space="preserve"> </w:t>
      </w:r>
      <w:r w:rsidR="002C7AB1" w:rsidRPr="00EB71B2">
        <w:t>operation,</w:t>
      </w:r>
      <w:r w:rsidR="00EA4478" w:rsidRPr="00EB71B2">
        <w:t xml:space="preserve"> </w:t>
      </w:r>
      <w:r w:rsidR="00EA4478">
        <w:t>and decommissioning</w:t>
      </w:r>
      <w:r w:rsidR="00EA4478" w:rsidRPr="00EB71B2">
        <w:t>.</w:t>
      </w:r>
      <w:r w:rsidR="004D2054">
        <w:t xml:space="preserve"> </w:t>
      </w:r>
      <w:r w:rsidR="002C7AB1" w:rsidRPr="002C7AB1">
        <w:t xml:space="preserve">These emissions will </w:t>
      </w:r>
      <w:r w:rsidR="00EA17CF">
        <w:t xml:space="preserve">contribute </w:t>
      </w:r>
      <w:r w:rsidR="002C7AB1" w:rsidRPr="002C7AB1">
        <w:t>to the overall emissions for Victoria and Australia and will be accounted for in state-wide and national greenhouse gas accounting, goals, and targets</w:t>
      </w:r>
      <w:r w:rsidR="004D2054">
        <w:t>.</w:t>
      </w:r>
      <w:r w:rsidR="00C175B7">
        <w:t xml:space="preserve"> </w:t>
      </w:r>
    </w:p>
    <w:p w14:paraId="5F1BE5D2" w14:textId="2D768DCC" w:rsidR="00517C08" w:rsidRDefault="00A14C55" w:rsidP="00814971">
      <w:pPr>
        <w:pStyle w:val="Heading2"/>
      </w:pPr>
      <w:bookmarkStart w:id="2" w:name="_Toc179878098"/>
      <w:bookmarkStart w:id="3" w:name="_Toc182582719"/>
      <w:bookmarkStart w:id="4" w:name="_Toc201071036"/>
      <w:bookmarkEnd w:id="2"/>
      <w:r>
        <w:t>Evaluation objective</w:t>
      </w:r>
      <w:bookmarkEnd w:id="3"/>
      <w:bookmarkEnd w:id="4"/>
    </w:p>
    <w:p w14:paraId="22365B27" w14:textId="493EF62F" w:rsidR="00146358" w:rsidRPr="008C1500" w:rsidRDefault="00A14C55" w:rsidP="5F5F54A2">
      <w:pPr>
        <w:rPr>
          <w:color w:val="000000" w:themeColor="text1"/>
        </w:rPr>
      </w:pPr>
      <w:r w:rsidRPr="5F5F54A2">
        <w:t xml:space="preserve">The </w:t>
      </w:r>
      <w:r w:rsidR="005B713E" w:rsidRPr="5F5F54A2">
        <w:t>s</w:t>
      </w:r>
      <w:r w:rsidRPr="5F5F54A2">
        <w:t xml:space="preserve">coping requirements identify the following evaluation objective relevant to </w:t>
      </w:r>
      <w:r w:rsidR="00BE000D" w:rsidRPr="5F5F54A2">
        <w:t>g</w:t>
      </w:r>
      <w:r w:rsidR="00146358" w:rsidRPr="5F5F54A2">
        <w:t>reenhouse gas</w:t>
      </w:r>
      <w:r w:rsidR="005172C2" w:rsidRPr="5F5F54A2">
        <w:t>:</w:t>
      </w:r>
      <w:r w:rsidR="00146358" w:rsidRPr="5F5F54A2">
        <w:t xml:space="preserve"> </w:t>
      </w:r>
    </w:p>
    <w:p w14:paraId="3B294DF5" w14:textId="614BA1C4" w:rsidR="007F55FC" w:rsidRPr="00585138" w:rsidRDefault="007F55FC" w:rsidP="00DF3155">
      <w:pPr>
        <w:pStyle w:val="Call-outboxHeading"/>
        <w:framePr w:w="9089" w:h="1321" w:hRule="exact" w:hSpace="170" w:vSpace="170" w:wrap="around" w:y="7"/>
        <w:rPr>
          <w:color w:val="auto"/>
        </w:rPr>
      </w:pPr>
      <w:r w:rsidRPr="00585138">
        <w:rPr>
          <w:color w:val="auto"/>
        </w:rPr>
        <w:t>Evaluation objective</w:t>
      </w:r>
    </w:p>
    <w:p w14:paraId="253CAA79" w14:textId="69580FA6" w:rsidR="00146358" w:rsidRPr="00A06137" w:rsidRDefault="00146358" w:rsidP="5F5F54A2">
      <w:pPr>
        <w:pStyle w:val="Call-outbox"/>
        <w:framePr w:w="9089" w:h="1321" w:hRule="exact" w:hSpace="170" w:vSpace="170" w:wrap="around" w:y="7"/>
        <w:rPr>
          <w:color w:val="000000" w:themeColor="text1"/>
        </w:rPr>
      </w:pPr>
      <w:r w:rsidRPr="5F5F54A2">
        <w:t xml:space="preserve">Avoid, or minimise where avoidance is not possible, adverse effects for community amenity, health and safety, with regard to construction noise, vibration, dust, lighting, waste, greenhouse gas emissions, transport network, operational noise, fire risk management and electromagnetic radiation. </w:t>
      </w:r>
    </w:p>
    <w:p w14:paraId="5973EA74" w14:textId="143F4AE1" w:rsidR="00F9041B" w:rsidRDefault="00A14C55" w:rsidP="00136794">
      <w:r w:rsidRPr="5F5F54A2">
        <w:t>In response to this evaluation objective</w:t>
      </w:r>
      <w:r w:rsidR="000C5495" w:rsidRPr="5F5F54A2">
        <w:t>,</w:t>
      </w:r>
      <w:r w:rsidR="004D2054" w:rsidRPr="5F5F54A2">
        <w:t xml:space="preserve"> the impacts of</w:t>
      </w:r>
      <w:r w:rsidRPr="5F5F54A2">
        <w:t xml:space="preserve"> </w:t>
      </w:r>
      <w:r w:rsidR="0091674E" w:rsidRPr="5F5F54A2">
        <w:t xml:space="preserve">greenhouse gas emissions </w:t>
      </w:r>
      <w:r w:rsidR="004D2054" w:rsidRPr="5F5F54A2">
        <w:t>from</w:t>
      </w:r>
      <w:r w:rsidRPr="5F5F54A2">
        <w:t xml:space="preserve"> the </w:t>
      </w:r>
      <w:r w:rsidR="006A48EC" w:rsidRPr="5F5F54A2">
        <w:t>P</w:t>
      </w:r>
      <w:r w:rsidRPr="5F5F54A2">
        <w:t xml:space="preserve">roject </w:t>
      </w:r>
      <w:r w:rsidR="00F34196" w:rsidRPr="5F5F54A2">
        <w:t xml:space="preserve">were </w:t>
      </w:r>
      <w:r w:rsidR="0091674E" w:rsidRPr="5F5F54A2">
        <w:t>quantified</w:t>
      </w:r>
      <w:r w:rsidR="004D5772" w:rsidRPr="5F5F54A2">
        <w:t>,</w:t>
      </w:r>
      <w:r w:rsidR="0091674E" w:rsidRPr="5F5F54A2">
        <w:t xml:space="preserve"> </w:t>
      </w:r>
      <w:r w:rsidRPr="5F5F54A2">
        <w:t xml:space="preserve">and measures to avoid, minimise or manage potential </w:t>
      </w:r>
      <w:r w:rsidR="009D3F89" w:rsidRPr="5F5F54A2">
        <w:t>impacts</w:t>
      </w:r>
      <w:r w:rsidRPr="5F5F54A2">
        <w:t xml:space="preserve"> </w:t>
      </w:r>
      <w:r w:rsidR="004D5772" w:rsidRPr="5F5F54A2">
        <w:t xml:space="preserve">have been </w:t>
      </w:r>
      <w:r w:rsidRPr="5F5F54A2">
        <w:t xml:space="preserve">identified. </w:t>
      </w:r>
      <w:r w:rsidR="00B135FE" w:rsidRPr="5F5F54A2">
        <w:t xml:space="preserve">These measures are discussed throughout this chapter and have informed the development of </w:t>
      </w:r>
      <w:r w:rsidR="00B135FE" w:rsidRPr="00712812">
        <w:t>Environmental Performance Requirements (EPRs). EPRs set out the environmental outcomes to be achieved through the implementation of mitigation measures during construction, operation and decommissioning</w:t>
      </w:r>
      <w:r w:rsidR="00B135FE" w:rsidRPr="5F5F54A2">
        <w:t xml:space="preserve"> to </w:t>
      </w:r>
      <w:r w:rsidR="00B135FE" w:rsidRPr="00712812">
        <w:t>avoid</w:t>
      </w:r>
      <w:r w:rsidR="00572B4E">
        <w:t xml:space="preserve">, minimise and manage </w:t>
      </w:r>
      <w:r w:rsidR="00B135FE" w:rsidRPr="5F5F54A2">
        <w:t xml:space="preserve">identified impacts. Cumulative impacts associated with </w:t>
      </w:r>
      <w:r w:rsidR="00B135FE" w:rsidRPr="00712812">
        <w:t>relevant future projects</w:t>
      </w:r>
      <w:r w:rsidR="00B135FE" w:rsidRPr="5F5F54A2">
        <w:t xml:space="preserve"> were also assessed.</w:t>
      </w:r>
    </w:p>
    <w:p w14:paraId="447130A7" w14:textId="497D3363" w:rsidR="00E72B0B" w:rsidRDefault="00A14C55" w:rsidP="00136794">
      <w:r>
        <w:t xml:space="preserve">Further information on how the </w:t>
      </w:r>
      <w:r w:rsidR="005B713E">
        <w:t>P</w:t>
      </w:r>
      <w:r>
        <w:t xml:space="preserve">roject has been designed to avoid and minimise </w:t>
      </w:r>
      <w:r w:rsidR="009D3F89">
        <w:t>impacts</w:t>
      </w:r>
      <w:r>
        <w:t xml:space="preserve"> is provided in </w:t>
      </w:r>
      <w:r w:rsidRPr="00A76620">
        <w:rPr>
          <w:b/>
          <w:bCs/>
        </w:rPr>
        <w:t xml:space="preserve">Chapter </w:t>
      </w:r>
      <w:r w:rsidR="00AC6618" w:rsidRPr="00A06137">
        <w:rPr>
          <w:b/>
          <w:bCs/>
        </w:rPr>
        <w:t>5</w:t>
      </w:r>
      <w:r w:rsidR="00F34196">
        <w:rPr>
          <w:b/>
          <w:bCs/>
        </w:rPr>
        <w:t>:</w:t>
      </w:r>
      <w:r w:rsidRPr="00A06137">
        <w:rPr>
          <w:b/>
          <w:bCs/>
        </w:rPr>
        <w:t xml:space="preserve"> </w:t>
      </w:r>
      <w:r w:rsidRPr="00A76620">
        <w:rPr>
          <w:b/>
          <w:bCs/>
        </w:rPr>
        <w:t>Project development</w:t>
      </w:r>
      <w:r w:rsidR="7DB8BA81">
        <w:t xml:space="preserve"> and </w:t>
      </w:r>
      <w:r w:rsidR="7DB8BA81" w:rsidRPr="00A76620">
        <w:rPr>
          <w:b/>
          <w:bCs/>
        </w:rPr>
        <w:t>Chapter 6</w:t>
      </w:r>
      <w:r w:rsidR="7DB8BA81" w:rsidRPr="246769EB">
        <w:rPr>
          <w:b/>
          <w:bCs/>
        </w:rPr>
        <w:t>:</w:t>
      </w:r>
      <w:r w:rsidR="7DB8BA81" w:rsidRPr="00A76620">
        <w:rPr>
          <w:b/>
          <w:bCs/>
        </w:rPr>
        <w:t xml:space="preserve"> Project description</w:t>
      </w:r>
      <w:r>
        <w:t>.</w:t>
      </w:r>
    </w:p>
    <w:p w14:paraId="0B969D37" w14:textId="5BD9AE11" w:rsidR="006A48EC" w:rsidRDefault="004D2054" w:rsidP="5F5F54A2">
      <w:pPr>
        <w:pStyle w:val="ListBullet"/>
        <w:numPr>
          <w:ilvl w:val="0"/>
          <w:numId w:val="0"/>
        </w:numPr>
        <w:rPr>
          <w:b/>
          <w:bCs/>
        </w:rPr>
        <w:sectPr w:rsidR="006A48EC" w:rsidSect="00621EC2">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1134" w:footer="340" w:gutter="0"/>
          <w:pgNumType w:start="1" w:chapStyle="1"/>
          <w:cols w:space="708"/>
          <w:docGrid w:linePitch="360"/>
        </w:sectPr>
      </w:pPr>
      <w:r w:rsidRPr="5F5F54A2">
        <w:t>Other aspects covered in the</w:t>
      </w:r>
      <w:r w:rsidR="00287CD5" w:rsidRPr="5F5F54A2">
        <w:t xml:space="preserve"> </w:t>
      </w:r>
      <w:r w:rsidR="00C8496B" w:rsidRPr="5F5F54A2">
        <w:t>Environment Effects Statement (</w:t>
      </w:r>
      <w:r w:rsidR="00287CD5" w:rsidRPr="5F5F54A2">
        <w:t>EES</w:t>
      </w:r>
      <w:r w:rsidR="00C8496B" w:rsidRPr="5F5F54A2">
        <w:t>)</w:t>
      </w:r>
      <w:r w:rsidRPr="5F5F54A2">
        <w:t xml:space="preserve"> evaluation objective and relevant to greenhouse gas emissions are addressed in the following EES chapters:</w:t>
      </w:r>
    </w:p>
    <w:p w14:paraId="0DD21B17" w14:textId="58CE7BED" w:rsidR="004D2054" w:rsidRPr="003F6219" w:rsidRDefault="004D2054" w:rsidP="00547258">
      <w:pPr>
        <w:pStyle w:val="ListBullet"/>
        <w:rPr>
          <w:b/>
          <w:bCs/>
        </w:rPr>
      </w:pPr>
      <w:r w:rsidRPr="003F6219">
        <w:rPr>
          <w:b/>
          <w:bCs/>
        </w:rPr>
        <w:t xml:space="preserve">Chapter 11: Landscape and visual </w:t>
      </w:r>
    </w:p>
    <w:p w14:paraId="5065F0A2" w14:textId="50A76368" w:rsidR="004D2054" w:rsidRPr="003F6219" w:rsidRDefault="004D2054" w:rsidP="00547258">
      <w:pPr>
        <w:pStyle w:val="ListBullet"/>
        <w:rPr>
          <w:b/>
          <w:bCs/>
        </w:rPr>
      </w:pPr>
      <w:r w:rsidRPr="003F6219">
        <w:rPr>
          <w:b/>
          <w:bCs/>
        </w:rPr>
        <w:t>Chapter 1</w:t>
      </w:r>
      <w:r>
        <w:rPr>
          <w:b/>
          <w:bCs/>
        </w:rPr>
        <w:t>3</w:t>
      </w:r>
      <w:r w:rsidRPr="003F6219">
        <w:rPr>
          <w:b/>
          <w:bCs/>
        </w:rPr>
        <w:t>: Bushfire</w:t>
      </w:r>
    </w:p>
    <w:p w14:paraId="71CD684A" w14:textId="091E5A0F" w:rsidR="004D2054" w:rsidRPr="004D2054" w:rsidRDefault="004D2054" w:rsidP="00547258">
      <w:pPr>
        <w:pStyle w:val="ListBullet"/>
        <w:rPr>
          <w:b/>
          <w:bCs/>
        </w:rPr>
      </w:pPr>
      <w:r w:rsidRPr="003F6219">
        <w:rPr>
          <w:b/>
          <w:bCs/>
        </w:rPr>
        <w:t>Chapter 1</w:t>
      </w:r>
      <w:r>
        <w:rPr>
          <w:b/>
          <w:bCs/>
        </w:rPr>
        <w:t>7</w:t>
      </w:r>
      <w:r w:rsidRPr="004D2054">
        <w:rPr>
          <w:b/>
          <w:bCs/>
        </w:rPr>
        <w:t>: EMI and EMF</w:t>
      </w:r>
    </w:p>
    <w:p w14:paraId="7026DF3B" w14:textId="0ED35F8C" w:rsidR="004D2054" w:rsidRDefault="004D2054" w:rsidP="00547258">
      <w:pPr>
        <w:pStyle w:val="ListBullet"/>
        <w:rPr>
          <w:b/>
          <w:bCs/>
        </w:rPr>
      </w:pPr>
      <w:r w:rsidRPr="004D2054">
        <w:rPr>
          <w:b/>
          <w:bCs/>
        </w:rPr>
        <w:t>Chapter 1</w:t>
      </w:r>
      <w:r>
        <w:rPr>
          <w:b/>
          <w:bCs/>
        </w:rPr>
        <w:t>8</w:t>
      </w:r>
      <w:r w:rsidRPr="003F6219">
        <w:rPr>
          <w:b/>
          <w:bCs/>
        </w:rPr>
        <w:t>: Air quality</w:t>
      </w:r>
    </w:p>
    <w:p w14:paraId="1E4EE07C" w14:textId="4A84ACB6" w:rsidR="004D2054" w:rsidRPr="007049A9" w:rsidRDefault="007049A9">
      <w:pPr>
        <w:pStyle w:val="ListBullet"/>
        <w:rPr>
          <w:b/>
          <w:bCs/>
        </w:rPr>
      </w:pPr>
      <w:r w:rsidRPr="007049A9">
        <w:rPr>
          <w:b/>
          <w:bCs/>
        </w:rPr>
        <w:br w:type="column"/>
      </w:r>
      <w:r w:rsidR="004D2054" w:rsidRPr="007049A9">
        <w:rPr>
          <w:b/>
          <w:bCs/>
        </w:rPr>
        <w:t>Chapter 19: Noise and vibration</w:t>
      </w:r>
    </w:p>
    <w:p w14:paraId="5306A6E0" w14:textId="0867AC22" w:rsidR="004D2054" w:rsidRPr="003F6219" w:rsidRDefault="004D2054" w:rsidP="00EE060D">
      <w:pPr>
        <w:pStyle w:val="ListBullet"/>
        <w:rPr>
          <w:b/>
          <w:bCs/>
        </w:rPr>
      </w:pPr>
      <w:r w:rsidRPr="003F6219">
        <w:rPr>
          <w:b/>
          <w:bCs/>
        </w:rPr>
        <w:t xml:space="preserve">Chapter </w:t>
      </w:r>
      <w:r>
        <w:rPr>
          <w:b/>
          <w:bCs/>
        </w:rPr>
        <w:t>20</w:t>
      </w:r>
      <w:r w:rsidRPr="003F6219">
        <w:rPr>
          <w:b/>
          <w:bCs/>
        </w:rPr>
        <w:t>: Transport</w:t>
      </w:r>
    </w:p>
    <w:p w14:paraId="4D07E419" w14:textId="77777777" w:rsidR="006A48EC" w:rsidRDefault="004D2054" w:rsidP="00DF3155">
      <w:pPr>
        <w:pStyle w:val="ListBullet"/>
        <w:rPr>
          <w:b/>
          <w:bCs/>
        </w:rPr>
      </w:pPr>
      <w:r w:rsidRPr="003F6219">
        <w:rPr>
          <w:b/>
          <w:bCs/>
        </w:rPr>
        <w:t xml:space="preserve">Chapter </w:t>
      </w:r>
      <w:r>
        <w:rPr>
          <w:b/>
          <w:bCs/>
        </w:rPr>
        <w:t>23</w:t>
      </w:r>
      <w:r w:rsidRPr="003F6219">
        <w:rPr>
          <w:b/>
          <w:bCs/>
        </w:rPr>
        <w:t>: Contaminated lan</w:t>
      </w:r>
      <w:bookmarkStart w:id="5" w:name="_Ref183604448"/>
      <w:r w:rsidR="00DF3155">
        <w:rPr>
          <w:b/>
          <w:bCs/>
        </w:rPr>
        <w:t>d.</w:t>
      </w:r>
    </w:p>
    <w:p w14:paraId="2C19F2F7" w14:textId="7C90ED3E" w:rsidR="00DF3155" w:rsidRPr="00DF3155" w:rsidRDefault="00DF3155" w:rsidP="00DF3155">
      <w:pPr>
        <w:pStyle w:val="ListBullet"/>
        <w:numPr>
          <w:ilvl w:val="0"/>
          <w:numId w:val="0"/>
        </w:numPr>
        <w:ind w:left="284" w:hanging="284"/>
        <w:rPr>
          <w:b/>
          <w:bCs/>
        </w:rPr>
        <w:sectPr w:rsidR="00DF3155" w:rsidRPr="00DF3155" w:rsidSect="007049A9">
          <w:type w:val="continuous"/>
          <w:pgSz w:w="11906" w:h="16838" w:code="9"/>
          <w:pgMar w:top="1418" w:right="1418" w:bottom="1418" w:left="1418" w:header="1134" w:footer="340" w:gutter="0"/>
          <w:cols w:num="2" w:space="708"/>
          <w:docGrid w:linePitch="360"/>
        </w:sectPr>
      </w:pPr>
    </w:p>
    <w:p w14:paraId="551BE1C7" w14:textId="00207401" w:rsidR="002B0409" w:rsidRDefault="00D10D9C" w:rsidP="00D10D9C">
      <w:pPr>
        <w:pStyle w:val="Heading2"/>
      </w:pPr>
      <w:bookmarkStart w:id="6" w:name="_Toc179878100"/>
      <w:bookmarkStart w:id="7" w:name="_Toc182582720"/>
      <w:bookmarkStart w:id="8" w:name="_Toc201071037"/>
      <w:bookmarkEnd w:id="5"/>
      <w:bookmarkEnd w:id="6"/>
      <w:r>
        <w:lastRenderedPageBreak/>
        <w:t>Method</w:t>
      </w:r>
      <w:bookmarkEnd w:id="7"/>
      <w:bookmarkEnd w:id="8"/>
    </w:p>
    <w:p w14:paraId="40E87438" w14:textId="74EB2988" w:rsidR="00790E98" w:rsidRDefault="00BE0EFF" w:rsidP="00D10D9C">
      <w:r w:rsidRPr="00BE0EFF">
        <w:t xml:space="preserve">This section summarises the method adopted in </w:t>
      </w:r>
      <w:r w:rsidRPr="5F5F54A2">
        <w:rPr>
          <w:b/>
          <w:bCs/>
        </w:rPr>
        <w:t>Technical Report M: Greenhouse Gas Impact Assessment</w:t>
      </w:r>
      <w:r w:rsidRPr="00B64CB2">
        <w:t>, which was informed by</w:t>
      </w:r>
      <w:r w:rsidRPr="5F5F54A2" w:rsidDel="00BE0EFF">
        <w:t xml:space="preserve"> </w:t>
      </w:r>
      <w:r w:rsidR="006A0606" w:rsidRPr="5F5F54A2">
        <w:rPr>
          <w:b/>
          <w:bCs/>
        </w:rPr>
        <w:t>Chapter 4</w:t>
      </w:r>
      <w:r w:rsidR="009C5A84" w:rsidRPr="5F5F54A2">
        <w:rPr>
          <w:b/>
          <w:bCs/>
        </w:rPr>
        <w:t>:</w:t>
      </w:r>
      <w:r w:rsidR="006A0606" w:rsidRPr="5F5F54A2">
        <w:rPr>
          <w:b/>
          <w:bCs/>
        </w:rPr>
        <w:t xml:space="preserve"> EES </w:t>
      </w:r>
      <w:r w:rsidR="00D92AA3" w:rsidRPr="5F5F54A2">
        <w:rPr>
          <w:b/>
          <w:bCs/>
        </w:rPr>
        <w:t>a</w:t>
      </w:r>
      <w:r w:rsidR="006A0606" w:rsidRPr="5F5F54A2">
        <w:rPr>
          <w:b/>
          <w:bCs/>
        </w:rPr>
        <w:t xml:space="preserve">ssessment </w:t>
      </w:r>
      <w:r w:rsidR="00D92AA3" w:rsidRPr="5F5F54A2">
        <w:rPr>
          <w:b/>
          <w:bCs/>
        </w:rPr>
        <w:t>f</w:t>
      </w:r>
      <w:r w:rsidR="006A0606" w:rsidRPr="5F5F54A2">
        <w:rPr>
          <w:b/>
          <w:bCs/>
        </w:rPr>
        <w:t>ramework</w:t>
      </w:r>
      <w:r w:rsidR="00F0417C" w:rsidRPr="5F5F54A2">
        <w:rPr>
          <w:b/>
          <w:bCs/>
        </w:rPr>
        <w:t xml:space="preserve"> and</w:t>
      </w:r>
      <w:r w:rsidR="00BE4DA3" w:rsidRPr="5F5F54A2">
        <w:rPr>
          <w:b/>
          <w:bCs/>
        </w:rPr>
        <w:t xml:space="preserve"> approach</w:t>
      </w:r>
      <w:r w:rsidRPr="00B64CB2">
        <w:t>.</w:t>
      </w:r>
      <w:r>
        <w:rPr>
          <w:b/>
          <w:bCs/>
        </w:rPr>
        <w:t xml:space="preserve"> </w:t>
      </w:r>
      <w:r w:rsidR="006A0606" w:rsidRPr="5F5F54A2">
        <w:t xml:space="preserve">The key steps in assessing </w:t>
      </w:r>
      <w:r w:rsidR="00790E98" w:rsidRPr="5F5F54A2">
        <w:t xml:space="preserve">the impacts </w:t>
      </w:r>
      <w:r w:rsidR="004D2054" w:rsidRPr="5F5F54A2">
        <w:t xml:space="preserve">of greenhouse gas </w:t>
      </w:r>
      <w:r w:rsidR="00260DAD" w:rsidRPr="5F5F54A2">
        <w:t xml:space="preserve">emissions </w:t>
      </w:r>
      <w:r w:rsidR="00790E98" w:rsidRPr="5F5F54A2">
        <w:t>included:</w:t>
      </w:r>
    </w:p>
    <w:p w14:paraId="2FD100FA" w14:textId="52E5223A" w:rsidR="00C860E0" w:rsidRDefault="00C860E0" w:rsidP="00C860E0">
      <w:pPr>
        <w:pStyle w:val="ListBullet"/>
      </w:pPr>
      <w:r w:rsidRPr="5F5F54A2">
        <w:t>Defining a study area appropriate for greenhouse gas emissions: recognising that greenhouse gas emissions impacts are a global issue</w:t>
      </w:r>
      <w:r w:rsidR="00B135FE" w:rsidRPr="5F5F54A2">
        <w:t>,</w:t>
      </w:r>
      <w:r w:rsidRPr="5F5F54A2">
        <w:t xml:space="preserve"> and emissions associated with the Project will fall into the total emissions for Victoria and Australia as a whole</w:t>
      </w:r>
      <w:r w:rsidR="00B135FE" w:rsidRPr="5F5F54A2">
        <w:t>.</w:t>
      </w:r>
      <w:r w:rsidRPr="5F5F54A2">
        <w:t xml:space="preserve"> </w:t>
      </w:r>
      <w:r w:rsidR="00B135FE" w:rsidRPr="5F5F54A2">
        <w:t>T</w:t>
      </w:r>
      <w:r w:rsidRPr="5F5F54A2">
        <w:t>he study area was not spatially limited</w:t>
      </w:r>
      <w:r w:rsidR="00A93E97" w:rsidRPr="5F5F54A2">
        <w:t xml:space="preserve"> to the physical construction and operational boundary for the Project</w:t>
      </w:r>
      <w:r w:rsidR="0034790D" w:rsidRPr="5F5F54A2">
        <w:t>.</w:t>
      </w:r>
      <w:r w:rsidR="00B135FE" w:rsidRPr="5F5F54A2">
        <w:t xml:space="preserve"> </w:t>
      </w:r>
      <w:r w:rsidR="0034790D" w:rsidRPr="5F5F54A2">
        <w:t>It included</w:t>
      </w:r>
      <w:r w:rsidRPr="5F5F54A2">
        <w:t xml:space="preserve"> all areas in which greenhouse gas emissions from the Project may be produced and/or where emissions from the Project will have an impact on climate change.</w:t>
      </w:r>
    </w:p>
    <w:p w14:paraId="2C8EB4F2" w14:textId="0C83DEF7" w:rsidR="00692F67" w:rsidRDefault="00692F67" w:rsidP="00C41E5F">
      <w:pPr>
        <w:pStyle w:val="ListBullet"/>
      </w:pPr>
      <w:r w:rsidRPr="5F5F54A2">
        <w:t>R</w:t>
      </w:r>
      <w:r w:rsidR="0050646D" w:rsidRPr="5F5F54A2">
        <w:t xml:space="preserve">eviewing applicable </w:t>
      </w:r>
      <w:r w:rsidR="00D75A16" w:rsidRPr="5F5F54A2">
        <w:t>i</w:t>
      </w:r>
      <w:r w:rsidR="00CF7795" w:rsidRPr="5F5F54A2">
        <w:t xml:space="preserve">nternational, </w:t>
      </w:r>
      <w:r w:rsidR="0050646D" w:rsidRPr="5F5F54A2">
        <w:t>Commonwealth and Victorian legislation, and relevant local, state and national standards, guidelines and policies</w:t>
      </w:r>
      <w:r w:rsidR="00F34196" w:rsidRPr="5F5F54A2">
        <w:t>.</w:t>
      </w:r>
    </w:p>
    <w:p w14:paraId="75D1700D" w14:textId="48A768D7" w:rsidR="00A6529E" w:rsidRDefault="00692F67" w:rsidP="003D5E42">
      <w:pPr>
        <w:pStyle w:val="ListBullet"/>
      </w:pPr>
      <w:r>
        <w:t>C</w:t>
      </w:r>
      <w:r w:rsidR="0050646D" w:rsidRPr="00BF60FC">
        <w:t xml:space="preserve">onducting </w:t>
      </w:r>
      <w:r w:rsidR="00A6529E">
        <w:t xml:space="preserve">a </w:t>
      </w:r>
      <w:r w:rsidR="0050646D" w:rsidRPr="00BF60FC">
        <w:t>desktop review</w:t>
      </w:r>
      <w:r w:rsidR="00142307">
        <w:t xml:space="preserve"> in accordance with the Greenhouse Gas Protocol issued by the World Business Council for Sustainable Development, World Resources Institute</w:t>
      </w:r>
      <w:r w:rsidR="0050646D" w:rsidRPr="00BF60FC">
        <w:t xml:space="preserve"> </w:t>
      </w:r>
      <w:r w:rsidR="00142307">
        <w:t>and ISO 14064-1:2006 Greenhouse gases – Part 1: Specification with guidance at the organisation level for quantification and reporting of greenhouse gas emissions and removals</w:t>
      </w:r>
      <w:r w:rsidR="00142307" w:rsidRPr="00A34FDA">
        <w:t xml:space="preserve"> </w:t>
      </w:r>
      <w:r w:rsidR="005B36D2" w:rsidRPr="00A34FDA">
        <w:t xml:space="preserve">to assess the existing </w:t>
      </w:r>
      <w:r w:rsidR="008E13D4" w:rsidRPr="00A06137">
        <w:t xml:space="preserve">greenhouse gas </w:t>
      </w:r>
      <w:r w:rsidR="005B36D2" w:rsidRPr="00A34FDA">
        <w:t>conditions including</w:t>
      </w:r>
      <w:r w:rsidR="00FE3C57" w:rsidRPr="00FE3C57">
        <w:rPr>
          <w:color w:val="FF0000"/>
        </w:rPr>
        <w:t xml:space="preserve"> </w:t>
      </w:r>
      <w:r w:rsidR="00C66265" w:rsidRPr="00A34FDA">
        <w:t>Victorian and National emissions levels</w:t>
      </w:r>
      <w:r w:rsidR="001F7686" w:rsidRPr="00A34FDA">
        <w:t xml:space="preserve"> from the most recently </w:t>
      </w:r>
      <w:r w:rsidR="00A44AB1" w:rsidRPr="00A34FDA">
        <w:t>av</w:t>
      </w:r>
      <w:r w:rsidR="00A44AB1">
        <w:t>ailable data sources</w:t>
      </w:r>
      <w:r w:rsidR="004D2054">
        <w:t>, including</w:t>
      </w:r>
      <w:r w:rsidR="00A6529E">
        <w:t xml:space="preserve">: </w:t>
      </w:r>
    </w:p>
    <w:p w14:paraId="14BBECBD" w14:textId="09B9D245" w:rsidR="00555233" w:rsidRDefault="00555233" w:rsidP="00A6529E">
      <w:pPr>
        <w:pStyle w:val="ListBullet2"/>
      </w:pPr>
      <w:r>
        <w:t xml:space="preserve">Australian National Greenhouse Accounts (published by the </w:t>
      </w:r>
      <w:r w:rsidR="0091481C">
        <w:t>Commonwealth</w:t>
      </w:r>
      <w:r>
        <w:t xml:space="preserve"> Department of Industry, Science, Energy and Resources (DISER))</w:t>
      </w:r>
    </w:p>
    <w:p w14:paraId="207E1A4A" w14:textId="3EDE5281" w:rsidR="00F77AA2" w:rsidRDefault="00B749C5">
      <w:pPr>
        <w:pStyle w:val="ListBullet2"/>
      </w:pPr>
      <w:r w:rsidRPr="00A06137">
        <w:t>Australia’s emissions projections 2023</w:t>
      </w:r>
      <w:r w:rsidRPr="00115BF9">
        <w:rPr>
          <w:i/>
          <w:iCs/>
        </w:rPr>
        <w:t xml:space="preserve"> </w:t>
      </w:r>
      <w:r>
        <w:t>(</w:t>
      </w:r>
      <w:r w:rsidR="002C1BF8">
        <w:t>DCCEEW</w:t>
      </w:r>
      <w:r w:rsidR="00450895">
        <w:t>,</w:t>
      </w:r>
      <w:r w:rsidR="00450895" w:rsidRPr="00450895" w:rsidDel="00450895">
        <w:t xml:space="preserve"> </w:t>
      </w:r>
      <w:r w:rsidR="00514297">
        <w:t>2023</w:t>
      </w:r>
      <w:r w:rsidR="002C1BF8">
        <w:t>a</w:t>
      </w:r>
      <w:r w:rsidR="00832791">
        <w:t>)</w:t>
      </w:r>
      <w:r w:rsidR="004D2054">
        <w:t>.</w:t>
      </w:r>
    </w:p>
    <w:p w14:paraId="54A674FE" w14:textId="5D757598" w:rsidR="00754812" w:rsidRDefault="00754812" w:rsidP="004A2492">
      <w:pPr>
        <w:ind w:left="284"/>
      </w:pPr>
      <w:r w:rsidRPr="5F5F54A2">
        <w:t xml:space="preserve">Greenhouse gas related fieldwork was not conducted for this impact assessment, as the desktop assessment of the Project design and sources of emissions was considered to be sufficient. </w:t>
      </w:r>
    </w:p>
    <w:p w14:paraId="23F4A279" w14:textId="268FE69D" w:rsidR="00AA32D2" w:rsidRDefault="002437D8">
      <w:pPr>
        <w:pStyle w:val="ListBullet"/>
      </w:pPr>
      <w:r>
        <w:t>Consulting with relevant regulatory authorities and key stakeholders</w:t>
      </w:r>
      <w:r w:rsidR="5669E9BE">
        <w:t xml:space="preserve"> including </w:t>
      </w:r>
      <w:r w:rsidR="00240A47" w:rsidRPr="00240A47">
        <w:t>Department of Jobs, Precincts and Regions</w:t>
      </w:r>
      <w:r w:rsidR="005571FA">
        <w:t xml:space="preserve">, </w:t>
      </w:r>
      <w:r w:rsidR="004E594A">
        <w:t>Agriculture</w:t>
      </w:r>
      <w:r w:rsidR="00014015">
        <w:t xml:space="preserve"> Victoria</w:t>
      </w:r>
      <w:r w:rsidR="004E594A">
        <w:t>, A</w:t>
      </w:r>
      <w:r w:rsidR="00240A47">
        <w:t xml:space="preserve">ustralian </w:t>
      </w:r>
      <w:r w:rsidR="004E594A">
        <w:t>E</w:t>
      </w:r>
      <w:r w:rsidR="00240A47">
        <w:t xml:space="preserve">nergy </w:t>
      </w:r>
      <w:r w:rsidR="004E594A">
        <w:t>M</w:t>
      </w:r>
      <w:r w:rsidR="00240A47">
        <w:t xml:space="preserve">arket </w:t>
      </w:r>
      <w:r w:rsidR="004E594A">
        <w:t>O</w:t>
      </w:r>
      <w:r w:rsidR="00240A47">
        <w:t>perator</w:t>
      </w:r>
      <w:r w:rsidR="00C42DA7">
        <w:t xml:space="preserve"> (AEMO)</w:t>
      </w:r>
      <w:r w:rsidR="004E594A">
        <w:t xml:space="preserve">, </w:t>
      </w:r>
      <w:r w:rsidR="00804595">
        <w:t xml:space="preserve">former </w:t>
      </w:r>
      <w:r w:rsidR="00C42DA7" w:rsidRPr="00C42DA7">
        <w:t xml:space="preserve">Department of Environment, Land, Water and Planning </w:t>
      </w:r>
      <w:r w:rsidR="00C42DA7">
        <w:t>(</w:t>
      </w:r>
      <w:r w:rsidR="006F21E1">
        <w:t>DELWP</w:t>
      </w:r>
      <w:r w:rsidR="00C42DA7">
        <w:t>)</w:t>
      </w:r>
      <w:r w:rsidR="00804595">
        <w:t xml:space="preserve"> -</w:t>
      </w:r>
      <w:r w:rsidR="006F21E1">
        <w:t xml:space="preserve"> Regional Planning Services</w:t>
      </w:r>
      <w:r w:rsidR="00804595">
        <w:t xml:space="preserve"> (now D</w:t>
      </w:r>
      <w:r w:rsidR="00240A47">
        <w:t xml:space="preserve">epartment of </w:t>
      </w:r>
      <w:r w:rsidR="00804595">
        <w:t>T</w:t>
      </w:r>
      <w:r w:rsidR="00240A47">
        <w:t>ransport and Planning</w:t>
      </w:r>
      <w:r w:rsidR="00FA04BB">
        <w:t xml:space="preserve"> (DTP</w:t>
      </w:r>
      <w:r w:rsidR="00804595">
        <w:t>)</w:t>
      </w:r>
      <w:r w:rsidR="006F21E1">
        <w:t>, Moorabool Shire Council,</w:t>
      </w:r>
      <w:r w:rsidR="00804595">
        <w:t xml:space="preserve"> </w:t>
      </w:r>
      <w:r w:rsidR="00106E55">
        <w:t xml:space="preserve">former </w:t>
      </w:r>
      <w:r w:rsidR="00BE4EF3">
        <w:t xml:space="preserve">DELWP </w:t>
      </w:r>
      <w:r w:rsidR="00106E55">
        <w:t>I</w:t>
      </w:r>
      <w:r w:rsidR="00027B36">
        <w:t xml:space="preserve">mpact </w:t>
      </w:r>
      <w:r w:rsidR="00106E55">
        <w:t>A</w:t>
      </w:r>
      <w:r w:rsidR="00027B36">
        <w:t xml:space="preserve">ssessment </w:t>
      </w:r>
      <w:r w:rsidR="00106E55">
        <w:t>U</w:t>
      </w:r>
      <w:r w:rsidR="00027B36">
        <w:t>nit</w:t>
      </w:r>
      <w:r w:rsidR="00106E55">
        <w:t xml:space="preserve"> (now DTP</w:t>
      </w:r>
      <w:r w:rsidR="00A47BEF">
        <w:t>)</w:t>
      </w:r>
      <w:r w:rsidR="0059233B">
        <w:t>.</w:t>
      </w:r>
    </w:p>
    <w:p w14:paraId="6557A069" w14:textId="7570EB5E" w:rsidR="00115BF9" w:rsidRPr="009C0B28" w:rsidRDefault="0050646D" w:rsidP="00BE4DA3">
      <w:pPr>
        <w:pStyle w:val="ListBullet"/>
      </w:pPr>
      <w:r w:rsidRPr="5F5F54A2">
        <w:t xml:space="preserve">Conducting a risk screening process to identify </w:t>
      </w:r>
      <w:r w:rsidR="004621C2" w:rsidRPr="5F5F54A2">
        <w:t xml:space="preserve">the </w:t>
      </w:r>
      <w:r w:rsidR="006219F4" w:rsidRPr="5F5F54A2">
        <w:t>key</w:t>
      </w:r>
      <w:r w:rsidRPr="5F5F54A2">
        <w:t xml:space="preserve"> </w:t>
      </w:r>
      <w:r w:rsidR="00060483" w:rsidRPr="5F5F54A2">
        <w:t>issues</w:t>
      </w:r>
      <w:r w:rsidRPr="5F5F54A2">
        <w:t xml:space="preserve"> </w:t>
      </w:r>
      <w:r w:rsidR="004621C2" w:rsidRPr="5F5F54A2">
        <w:t xml:space="preserve">during construction, operation and decommissioning </w:t>
      </w:r>
      <w:r w:rsidRPr="5F5F54A2">
        <w:t>for investigation</w:t>
      </w:r>
      <w:r w:rsidR="00F34196" w:rsidRPr="5F5F54A2">
        <w:t>.</w:t>
      </w:r>
    </w:p>
    <w:p w14:paraId="544CD80E" w14:textId="7D699295" w:rsidR="00EA2204" w:rsidRDefault="00B135FE" w:rsidP="00B64CB2">
      <w:pPr>
        <w:pStyle w:val="Call-outboxHeadingwithicon"/>
        <w:framePr w:w="3813" w:h="3054" w:hRule="exact" w:hSpace="170" w:vSpace="170" w:wrap="around" w:hAnchor="page" w:x="6649" w:y="1396"/>
      </w:pPr>
      <w:r>
        <w:t xml:space="preserve">   </w:t>
      </w:r>
      <w:r w:rsidR="00EA2204" w:rsidRPr="00DF3155">
        <w:t>Carbon dioxide equivalent</w:t>
      </w:r>
      <w:r>
        <w:t xml:space="preserve">   </w:t>
      </w:r>
      <w:r w:rsidR="00EA2204" w:rsidRPr="00DF3155">
        <w:t xml:space="preserve"> </w:t>
      </w:r>
    </w:p>
    <w:p w14:paraId="3BEA712D" w14:textId="23D37E01" w:rsidR="00EA2204" w:rsidRPr="00062432" w:rsidRDefault="00EA2204" w:rsidP="00B64CB2">
      <w:pPr>
        <w:pStyle w:val="Call-outbox"/>
        <w:framePr w:w="3813" w:h="3054" w:hRule="exact" w:hSpace="170" w:vSpace="170" w:wrap="around" w:hAnchor="page" w:x="6649" w:y="1396"/>
        <w:rPr>
          <w:lang w:val="en-GB"/>
        </w:rPr>
      </w:pPr>
      <w:r w:rsidRPr="00062432">
        <w:rPr>
          <w:lang w:val="en-GB"/>
        </w:rPr>
        <w:t>CO</w:t>
      </w:r>
      <w:r w:rsidRPr="0000584A">
        <w:rPr>
          <w:vertAlign w:val="subscript"/>
          <w:lang w:val="en-GB"/>
        </w:rPr>
        <w:t>2</w:t>
      </w:r>
      <w:r w:rsidRPr="00062432">
        <w:rPr>
          <w:lang w:val="en-GB"/>
        </w:rPr>
        <w:t>e – or carbon dioxide equivalent – is a term for describing different greenhouse gases in a common unit. For any quantity and type of greenhouse gas, CO</w:t>
      </w:r>
      <w:r w:rsidRPr="0000584A">
        <w:rPr>
          <w:vertAlign w:val="subscript"/>
          <w:lang w:val="en-GB"/>
        </w:rPr>
        <w:t>2</w:t>
      </w:r>
      <w:r w:rsidRPr="00062432">
        <w:rPr>
          <w:lang w:val="en-GB"/>
        </w:rPr>
        <w:t>e signifies the amount of carbon dioxide that would have the equivalent global warming impact.</w:t>
      </w:r>
    </w:p>
    <w:p w14:paraId="2C049262" w14:textId="77777777" w:rsidR="00EA2204" w:rsidRPr="00DF3155" w:rsidRDefault="00EA2204" w:rsidP="00B64CB2">
      <w:pPr>
        <w:pStyle w:val="Call-outbox"/>
        <w:framePr w:w="3813" w:h="3054" w:hRule="exact" w:hSpace="170" w:vSpace="170" w:wrap="around" w:hAnchor="page" w:x="6649" w:y="1396"/>
      </w:pPr>
    </w:p>
    <w:p w14:paraId="2135E995" w14:textId="4E5FAAAF" w:rsidR="00115BF9" w:rsidRDefault="00F35DD5" w:rsidP="00712812">
      <w:pPr>
        <w:pStyle w:val="ListBullet"/>
      </w:pPr>
      <w:r w:rsidRPr="5F5F54A2">
        <w:t>Identifying and assessing the potential</w:t>
      </w:r>
      <w:r w:rsidR="005129E3" w:rsidRPr="5F5F54A2">
        <w:t xml:space="preserve"> </w:t>
      </w:r>
      <w:r w:rsidRPr="5F5F54A2">
        <w:t>impacts associated with</w:t>
      </w:r>
      <w:r w:rsidR="00BD1C2F" w:rsidRPr="5F5F54A2">
        <w:t xml:space="preserve"> the Project’s</w:t>
      </w:r>
      <w:r w:rsidRPr="5F5F54A2">
        <w:t xml:space="preserve"> </w:t>
      </w:r>
      <w:r w:rsidR="00F57DA7" w:rsidRPr="5F5F54A2">
        <w:t>Scope 1</w:t>
      </w:r>
      <w:r w:rsidR="00894178" w:rsidRPr="5F5F54A2">
        <w:t xml:space="preserve"> and </w:t>
      </w:r>
      <w:r w:rsidR="00213776" w:rsidRPr="5F5F54A2">
        <w:t>2</w:t>
      </w:r>
      <w:r w:rsidR="00894178" w:rsidRPr="5F5F54A2">
        <w:t xml:space="preserve"> emissions</w:t>
      </w:r>
      <w:r w:rsidR="00A81A2C" w:rsidRPr="5F5F54A2">
        <w:t xml:space="preserve"> </w:t>
      </w:r>
      <w:r w:rsidR="00D7545F" w:rsidRPr="5F5F54A2">
        <w:t xml:space="preserve">during construction and operation stages. The definitions and examples for emission scope </w:t>
      </w:r>
      <w:r w:rsidR="0073362A" w:rsidRPr="5F5F54A2">
        <w:t xml:space="preserve">types are </w:t>
      </w:r>
      <w:r w:rsidR="00F34196" w:rsidRPr="5F5F54A2">
        <w:t>described in the</w:t>
      </w:r>
      <w:r w:rsidR="00B135FE" w:rsidRPr="5F5F54A2">
        <w:t xml:space="preserve"> ‘carbon dioxide equivalent’</w:t>
      </w:r>
      <w:r w:rsidR="00F34196" w:rsidRPr="5F5F54A2">
        <w:t xml:space="preserve"> </w:t>
      </w:r>
      <w:r w:rsidR="00B135FE" w:rsidRPr="5F5F54A2">
        <w:t xml:space="preserve">information </w:t>
      </w:r>
      <w:r w:rsidR="00F34196" w:rsidRPr="5F5F54A2">
        <w:t xml:space="preserve">box. </w:t>
      </w:r>
      <w:r w:rsidR="00526950" w:rsidRPr="5F5F54A2">
        <w:t>The</w:t>
      </w:r>
      <w:r w:rsidR="00A41939">
        <w:t>se</w:t>
      </w:r>
      <w:r w:rsidR="00120585">
        <w:t xml:space="preserve"> </w:t>
      </w:r>
      <w:r w:rsidR="00526950" w:rsidRPr="5F5F54A2">
        <w:t>impacts were ev</w:t>
      </w:r>
      <w:r w:rsidR="00E96565" w:rsidRPr="5F5F54A2">
        <w:t>aluated</w:t>
      </w:r>
      <w:r w:rsidR="00526950" w:rsidRPr="5F5F54A2">
        <w:t xml:space="preserve"> </w:t>
      </w:r>
      <w:r w:rsidR="001C5F38" w:rsidRPr="5F5F54A2">
        <w:t>against the existing conditions for greenhouse gas emissions produced in Victoria and Australia</w:t>
      </w:r>
      <w:r w:rsidR="00E5400A" w:rsidRPr="5F5F54A2">
        <w:t xml:space="preserve">, </w:t>
      </w:r>
      <w:r w:rsidR="003D002A">
        <w:t xml:space="preserve">and according to </w:t>
      </w:r>
      <w:r w:rsidR="00E5400A" w:rsidRPr="5F5F54A2">
        <w:t xml:space="preserve">the </w:t>
      </w:r>
      <w:r w:rsidR="0034790D" w:rsidRPr="5F5F54A2">
        <w:t>following ratings, in relation to the extent, magnitude and duration of the impacts</w:t>
      </w:r>
      <w:r w:rsidR="006A1B3F" w:rsidRPr="5F5F54A2">
        <w:t>:</w:t>
      </w:r>
    </w:p>
    <w:p w14:paraId="43848C50" w14:textId="27F219D7" w:rsidR="00157FC0" w:rsidRDefault="00157FC0" w:rsidP="00115BF9">
      <w:pPr>
        <w:pStyle w:val="ListBullet2"/>
      </w:pPr>
      <w:r w:rsidRPr="001621F6">
        <w:t>Negligible</w:t>
      </w:r>
      <w:r>
        <w:t xml:space="preserve">: </w:t>
      </w:r>
      <w:r w:rsidRPr="004525E4">
        <w:t xml:space="preserve">Construction Scope 1 and Scope 2 </w:t>
      </w:r>
      <w:r w:rsidR="00D67526">
        <w:t>greenhouse gas</w:t>
      </w:r>
      <w:r w:rsidR="00D67526" w:rsidRPr="004525E4">
        <w:t xml:space="preserve"> </w:t>
      </w:r>
      <w:r w:rsidRPr="004525E4">
        <w:t xml:space="preserve">emissions are insignificant, that is </w:t>
      </w:r>
      <w:r w:rsidR="00603E0A">
        <w:t xml:space="preserve">annual </w:t>
      </w:r>
      <w:r w:rsidRPr="004525E4">
        <w:t>emissions are less than 5,000</w:t>
      </w:r>
      <w:r w:rsidR="006E27AE">
        <w:t xml:space="preserve"> </w:t>
      </w:r>
      <w:r w:rsidRPr="004525E4">
        <w:t>t</w:t>
      </w:r>
      <w:r w:rsidR="00E41FE4">
        <w:t>onnes</w:t>
      </w:r>
      <w:r w:rsidRPr="004525E4">
        <w:t xml:space="preserve"> CO</w:t>
      </w:r>
      <w:r w:rsidRPr="00DF3155">
        <w:rPr>
          <w:vertAlign w:val="subscript"/>
        </w:rPr>
        <w:t>2</w:t>
      </w:r>
      <w:r w:rsidRPr="004525E4">
        <w:t xml:space="preserve">e. Operational Scope 1 and Scope 2 </w:t>
      </w:r>
      <w:r w:rsidR="00D67526">
        <w:t>greenhouse gas</w:t>
      </w:r>
      <w:r w:rsidR="00D67526" w:rsidRPr="004525E4">
        <w:t xml:space="preserve"> </w:t>
      </w:r>
      <w:r w:rsidRPr="004525E4">
        <w:t>emissions are insignificant, i.e., the Project is near to or on par with the ‘no project’ scenario</w:t>
      </w:r>
      <w:r w:rsidR="0038065E">
        <w:t>.</w:t>
      </w:r>
    </w:p>
    <w:p w14:paraId="4F07BC27" w14:textId="4D69A820" w:rsidR="00157FC0" w:rsidRPr="004525E4" w:rsidRDefault="00157FC0" w:rsidP="00157FC0">
      <w:pPr>
        <w:pStyle w:val="ListBullet2"/>
      </w:pPr>
      <w:r w:rsidRPr="001621F6">
        <w:t>Minor</w:t>
      </w:r>
      <w:r>
        <w:t xml:space="preserve">: </w:t>
      </w:r>
      <w:r w:rsidRPr="000C7374">
        <w:rPr>
          <w:color w:val="000000"/>
          <w:szCs w:val="16"/>
        </w:rPr>
        <w:t xml:space="preserve">Construction or operational Scope 1 and Scope 2 </w:t>
      </w:r>
      <w:r w:rsidR="00D67526">
        <w:t>greenhouse gas</w:t>
      </w:r>
      <w:r w:rsidR="00D67526" w:rsidRPr="004525E4">
        <w:t xml:space="preserve"> </w:t>
      </w:r>
      <w:r w:rsidRPr="000C7374">
        <w:rPr>
          <w:color w:val="000000"/>
          <w:szCs w:val="16"/>
        </w:rPr>
        <w:t xml:space="preserve">emissions are below the </w:t>
      </w:r>
      <w:r w:rsidR="00F23542" w:rsidRPr="001A38A7">
        <w:rPr>
          <w:i/>
          <w:iCs/>
        </w:rPr>
        <w:t>National Greenhouse and Energy Reporting</w:t>
      </w:r>
      <w:r w:rsidR="00F23542" w:rsidRPr="000C7374" w:rsidDel="00F23542">
        <w:rPr>
          <w:color w:val="000000"/>
          <w:szCs w:val="16"/>
        </w:rPr>
        <w:t xml:space="preserve"> </w:t>
      </w:r>
      <w:r w:rsidR="00E5053F">
        <w:rPr>
          <w:color w:val="000000"/>
          <w:szCs w:val="16"/>
        </w:rPr>
        <w:t xml:space="preserve">(NGER) </w:t>
      </w:r>
      <w:r w:rsidRPr="000C7374">
        <w:rPr>
          <w:color w:val="000000"/>
          <w:szCs w:val="16"/>
        </w:rPr>
        <w:t>Scheme reporting threshold (25,000 t</w:t>
      </w:r>
      <w:r w:rsidR="00E41FE4">
        <w:rPr>
          <w:color w:val="000000"/>
          <w:szCs w:val="16"/>
        </w:rPr>
        <w:t>onnes</w:t>
      </w:r>
      <w:r w:rsidRPr="000C7374">
        <w:rPr>
          <w:color w:val="000000"/>
          <w:szCs w:val="16"/>
        </w:rPr>
        <w:t xml:space="preserve"> CO</w:t>
      </w:r>
      <w:r w:rsidRPr="000C7374">
        <w:rPr>
          <w:color w:val="000000"/>
          <w:szCs w:val="16"/>
          <w:vertAlign w:val="subscript"/>
        </w:rPr>
        <w:t>2</w:t>
      </w:r>
      <w:r w:rsidRPr="000C7374">
        <w:rPr>
          <w:color w:val="000000"/>
          <w:szCs w:val="16"/>
        </w:rPr>
        <w:t xml:space="preserve">e </w:t>
      </w:r>
      <w:r w:rsidR="001A171B">
        <w:rPr>
          <w:color w:val="000000"/>
          <w:szCs w:val="16"/>
        </w:rPr>
        <w:t>per year</w:t>
      </w:r>
      <w:r w:rsidRPr="000C7374">
        <w:rPr>
          <w:color w:val="000000"/>
          <w:szCs w:val="16"/>
        </w:rPr>
        <w:t>)</w:t>
      </w:r>
      <w:r w:rsidR="0038065E">
        <w:rPr>
          <w:color w:val="000000"/>
          <w:szCs w:val="16"/>
        </w:rPr>
        <w:t>.</w:t>
      </w:r>
    </w:p>
    <w:p w14:paraId="76CA02A6" w14:textId="12653385" w:rsidR="00157FC0" w:rsidRPr="004525E4" w:rsidRDefault="00157FC0" w:rsidP="00157FC0">
      <w:pPr>
        <w:pStyle w:val="ListBullet2"/>
      </w:pPr>
      <w:r w:rsidRPr="001621F6">
        <w:rPr>
          <w:color w:val="000000"/>
          <w:szCs w:val="16"/>
        </w:rPr>
        <w:lastRenderedPageBreak/>
        <w:t>Moderate</w:t>
      </w:r>
      <w:r>
        <w:rPr>
          <w:color w:val="000000"/>
          <w:szCs w:val="16"/>
        </w:rPr>
        <w:t xml:space="preserve">: </w:t>
      </w:r>
      <w:r w:rsidRPr="000C7374">
        <w:rPr>
          <w:color w:val="000000"/>
          <w:szCs w:val="16"/>
        </w:rPr>
        <w:t xml:space="preserve">Construction or operational Scope 1 and Scope 2 </w:t>
      </w:r>
      <w:r w:rsidR="00D67526">
        <w:t>greenhouse gas</w:t>
      </w:r>
      <w:r w:rsidR="00D67526" w:rsidRPr="004525E4">
        <w:t xml:space="preserve"> </w:t>
      </w:r>
      <w:r w:rsidRPr="000C7374">
        <w:rPr>
          <w:color w:val="000000"/>
          <w:szCs w:val="16"/>
        </w:rPr>
        <w:t>emissions trigger the NGER Scheme reporting threshold (25,000 t</w:t>
      </w:r>
      <w:r w:rsidR="00E41FE4">
        <w:rPr>
          <w:color w:val="000000"/>
          <w:szCs w:val="16"/>
        </w:rPr>
        <w:t>onnes</w:t>
      </w:r>
      <w:r w:rsidRPr="000C7374">
        <w:rPr>
          <w:color w:val="000000"/>
          <w:szCs w:val="16"/>
        </w:rPr>
        <w:t xml:space="preserve"> CO</w:t>
      </w:r>
      <w:r w:rsidRPr="000C7374">
        <w:rPr>
          <w:color w:val="000000"/>
          <w:szCs w:val="16"/>
          <w:vertAlign w:val="subscript"/>
        </w:rPr>
        <w:t>2</w:t>
      </w:r>
      <w:r w:rsidRPr="000C7374">
        <w:rPr>
          <w:color w:val="000000"/>
          <w:szCs w:val="16"/>
        </w:rPr>
        <w:t xml:space="preserve">e </w:t>
      </w:r>
      <w:r w:rsidR="001A171B">
        <w:rPr>
          <w:color w:val="000000"/>
          <w:szCs w:val="16"/>
        </w:rPr>
        <w:t>per year</w:t>
      </w:r>
      <w:r w:rsidRPr="000C7374">
        <w:rPr>
          <w:color w:val="000000"/>
          <w:szCs w:val="16"/>
        </w:rPr>
        <w:t>)</w:t>
      </w:r>
      <w:r w:rsidR="0038065E">
        <w:rPr>
          <w:color w:val="000000"/>
          <w:szCs w:val="16"/>
        </w:rPr>
        <w:t>.</w:t>
      </w:r>
    </w:p>
    <w:p w14:paraId="3ED49C61" w14:textId="4C811AE1" w:rsidR="00157FC0" w:rsidRPr="004525E4" w:rsidRDefault="00157FC0" w:rsidP="00157FC0">
      <w:pPr>
        <w:pStyle w:val="ListBullet2"/>
      </w:pPr>
      <w:r w:rsidRPr="001621F6">
        <w:rPr>
          <w:color w:val="000000"/>
          <w:szCs w:val="16"/>
        </w:rPr>
        <w:t>Major</w:t>
      </w:r>
      <w:r>
        <w:rPr>
          <w:color w:val="000000"/>
          <w:szCs w:val="16"/>
        </w:rPr>
        <w:t xml:space="preserve">: </w:t>
      </w:r>
      <w:r w:rsidRPr="000C7374">
        <w:rPr>
          <w:color w:val="000000"/>
          <w:szCs w:val="16"/>
        </w:rPr>
        <w:t xml:space="preserve">Construction or operational Scope 1 and Scope 2 </w:t>
      </w:r>
      <w:r w:rsidR="00D67526">
        <w:t>greenhouse gas</w:t>
      </w:r>
      <w:r w:rsidR="00D67526" w:rsidRPr="004525E4">
        <w:t xml:space="preserve"> </w:t>
      </w:r>
      <w:r w:rsidRPr="000C7374">
        <w:rPr>
          <w:color w:val="000000"/>
          <w:szCs w:val="16"/>
        </w:rPr>
        <w:t>emissions trigger referral for individual potential environmental effects under the</w:t>
      </w:r>
      <w:r w:rsidRPr="000C7374">
        <w:rPr>
          <w:i/>
          <w:iCs/>
          <w:color w:val="000000"/>
          <w:szCs w:val="16"/>
        </w:rPr>
        <w:t xml:space="preserve"> Environment Effects Act 1978</w:t>
      </w:r>
      <w:r w:rsidRPr="000C7374">
        <w:rPr>
          <w:color w:val="000000"/>
          <w:szCs w:val="16"/>
        </w:rPr>
        <w:t xml:space="preserve"> (200,000 t</w:t>
      </w:r>
      <w:r w:rsidR="00E41FE4">
        <w:rPr>
          <w:color w:val="000000"/>
          <w:szCs w:val="16"/>
        </w:rPr>
        <w:t>onnes</w:t>
      </w:r>
      <w:r w:rsidRPr="000C7374">
        <w:rPr>
          <w:color w:val="000000"/>
          <w:szCs w:val="16"/>
        </w:rPr>
        <w:t xml:space="preserve"> CO</w:t>
      </w:r>
      <w:r w:rsidRPr="000C7374">
        <w:rPr>
          <w:color w:val="000000"/>
          <w:szCs w:val="16"/>
          <w:vertAlign w:val="subscript"/>
        </w:rPr>
        <w:t>2</w:t>
      </w:r>
      <w:r w:rsidRPr="000C7374">
        <w:rPr>
          <w:color w:val="000000"/>
          <w:szCs w:val="16"/>
        </w:rPr>
        <w:t xml:space="preserve">e </w:t>
      </w:r>
      <w:r w:rsidR="001A171B">
        <w:rPr>
          <w:color w:val="000000"/>
          <w:szCs w:val="16"/>
        </w:rPr>
        <w:t>per year</w:t>
      </w:r>
      <w:r w:rsidRPr="000C7374">
        <w:rPr>
          <w:color w:val="000000"/>
          <w:szCs w:val="16"/>
        </w:rPr>
        <w:t>)</w:t>
      </w:r>
      <w:r w:rsidR="0038065E">
        <w:rPr>
          <w:color w:val="000000"/>
          <w:szCs w:val="16"/>
        </w:rPr>
        <w:t>.</w:t>
      </w:r>
    </w:p>
    <w:p w14:paraId="7D801BA9" w14:textId="354BD6FB" w:rsidR="00157FC0" w:rsidRPr="00712812" w:rsidRDefault="00157FC0" w:rsidP="128C47A0">
      <w:pPr>
        <w:pStyle w:val="ListBullet2"/>
      </w:pPr>
      <w:r w:rsidRPr="5F5F54A2">
        <w:rPr>
          <w:color w:val="000000" w:themeColor="text2"/>
        </w:rPr>
        <w:t xml:space="preserve">Severe: Construction or operational Scope 1 and Scope 2 </w:t>
      </w:r>
      <w:r w:rsidR="00D67526" w:rsidRPr="5F5F54A2">
        <w:t xml:space="preserve">greenhouse gas </w:t>
      </w:r>
      <w:r w:rsidRPr="5F5F54A2">
        <w:rPr>
          <w:color w:val="000000" w:themeColor="text2"/>
        </w:rPr>
        <w:t xml:space="preserve">emissions represent a non-negligible proportion of Victoria’s </w:t>
      </w:r>
      <w:r w:rsidR="00D67526" w:rsidRPr="5F5F54A2">
        <w:t xml:space="preserve">greenhouse gas </w:t>
      </w:r>
      <w:r w:rsidRPr="5F5F54A2">
        <w:rPr>
          <w:color w:val="000000" w:themeColor="text2"/>
        </w:rPr>
        <w:t>emissions (&gt; 1</w:t>
      </w:r>
      <w:r w:rsidR="00B135FE" w:rsidRPr="5F5F54A2">
        <w:rPr>
          <w:color w:val="000000" w:themeColor="text2"/>
        </w:rPr>
        <w:t>per cent).</w:t>
      </w:r>
    </w:p>
    <w:p w14:paraId="5613F568" w14:textId="50F02C1F" w:rsidR="00D5469D" w:rsidRDefault="00B135FE" w:rsidP="00712812">
      <w:pPr>
        <w:pStyle w:val="Call-outboxHeadingwithicon"/>
        <w:framePr w:w="8783" w:h="4292" w:hRule="exact" w:hSpace="170" w:vSpace="170" w:wrap="around" w:hAnchor="page" w:x="1676" w:y="1907"/>
      </w:pPr>
      <w:r>
        <w:rPr>
          <w:rStyle w:val="Heading3Char"/>
          <w:rFonts w:asciiTheme="minorHAnsi" w:eastAsiaTheme="minorHAnsi" w:hAnsiTheme="minorHAnsi" w:cstheme="minorBidi"/>
          <w:color w:val="2C4BA0" w:themeColor="accent1"/>
          <w:sz w:val="18"/>
          <w:szCs w:val="22"/>
        </w:rPr>
        <w:t xml:space="preserve">                                              </w:t>
      </w:r>
      <w:r w:rsidR="00D5469D">
        <w:rPr>
          <w:rStyle w:val="Heading3Char"/>
          <w:rFonts w:asciiTheme="minorHAnsi" w:eastAsiaTheme="minorHAnsi" w:hAnsiTheme="minorHAnsi" w:cstheme="minorBidi"/>
          <w:color w:val="2C4BA0" w:themeColor="accent1"/>
          <w:sz w:val="18"/>
          <w:szCs w:val="22"/>
        </w:rPr>
        <w:t xml:space="preserve"> </w:t>
      </w:r>
      <w:r w:rsidR="00712812">
        <w:rPr>
          <w:rStyle w:val="Heading3Char"/>
          <w:rFonts w:asciiTheme="minorHAnsi" w:eastAsiaTheme="minorHAnsi" w:hAnsiTheme="minorHAnsi" w:cstheme="minorBidi"/>
          <w:color w:val="2C4BA0" w:themeColor="accent1"/>
          <w:sz w:val="18"/>
          <w:szCs w:val="22"/>
        </w:rPr>
        <w:t xml:space="preserve">                                             </w:t>
      </w:r>
      <w:r w:rsidR="008B1D48">
        <w:t xml:space="preserve">   </w:t>
      </w:r>
      <w:r w:rsidR="00BF5C18">
        <w:t>S</w:t>
      </w:r>
      <w:r w:rsidR="00D5469D">
        <w:t>cope</w:t>
      </w:r>
      <w:r w:rsidR="00BF5C18">
        <w:t xml:space="preserve"> 1, 2 and 3 </w:t>
      </w:r>
      <w:r w:rsidR="008B1D48">
        <w:t>e</w:t>
      </w:r>
      <w:r w:rsidR="00BF5C18">
        <w:t>missions</w:t>
      </w:r>
    </w:p>
    <w:p w14:paraId="56BA800E" w14:textId="2D481E8E" w:rsidR="00D5469D" w:rsidRPr="00DF3155" w:rsidRDefault="00D5469D" w:rsidP="00712812">
      <w:pPr>
        <w:pStyle w:val="Call-outbox"/>
        <w:framePr w:w="8783" w:h="4292" w:hRule="exact" w:hSpace="170" w:vSpace="170" w:wrap="around" w:hAnchor="page" w:x="1676" w:y="1907"/>
        <w:rPr>
          <w:b/>
          <w:bCs/>
        </w:rPr>
      </w:pPr>
      <w:r w:rsidRPr="5F5F54A2">
        <w:rPr>
          <w:b/>
          <w:bCs/>
        </w:rPr>
        <w:t>Scope 1</w:t>
      </w:r>
      <w:r w:rsidRPr="5F5F54A2">
        <w:t xml:space="preserve"> </w:t>
      </w:r>
      <w:r w:rsidRPr="5F5F54A2">
        <w:rPr>
          <w:b/>
          <w:bCs/>
        </w:rPr>
        <w:t>(direct emissions):</w:t>
      </w:r>
      <w:r w:rsidRPr="5F5F54A2">
        <w:t xml:space="preserve"> Emissions from sources owned or operated by the organisation reporting the emissions (for example, combustion of fuel used in on-site vehicles or in power generation, carbon sink loss due to vegetation clearance, or the leakage of sulphur hexafluoride (SF</w:t>
      </w:r>
      <w:r w:rsidRPr="00712812">
        <w:rPr>
          <w:vertAlign w:val="subscript"/>
        </w:rPr>
        <w:t>6</w:t>
      </w:r>
      <w:r w:rsidRPr="5F5F54A2">
        <w:t>) and fluorinated gasses)</w:t>
      </w:r>
      <w:r w:rsidRPr="5F5F54A2">
        <w:rPr>
          <w:b/>
          <w:bCs/>
        </w:rPr>
        <w:t>.</w:t>
      </w:r>
      <w:r>
        <w:br/>
      </w:r>
      <w:r>
        <w:br/>
      </w:r>
      <w:r w:rsidRPr="5F5F54A2">
        <w:rPr>
          <w:b/>
          <w:bCs/>
        </w:rPr>
        <w:t>Scope 2</w:t>
      </w:r>
      <w:r w:rsidRPr="5F5F54A2">
        <w:t xml:space="preserve"> </w:t>
      </w:r>
      <w:r w:rsidRPr="5F5F54A2">
        <w:rPr>
          <w:b/>
          <w:bCs/>
        </w:rPr>
        <w:t>(indirect emissions):</w:t>
      </w:r>
      <w:r w:rsidRPr="5F5F54A2">
        <w:t xml:space="preserve"> Emissions associated with the import of energy from another source (for example, the purchase of electricity at terminal stations during</w:t>
      </w:r>
      <w:r w:rsidR="00B135FE" w:rsidRPr="5F5F54A2">
        <w:t xml:space="preserve"> operations</w:t>
      </w:r>
      <w:r w:rsidRPr="5F5F54A2">
        <w:t>)</w:t>
      </w:r>
      <w:r w:rsidRPr="5F5F54A2">
        <w:rPr>
          <w:b/>
          <w:bCs/>
        </w:rPr>
        <w:t>.</w:t>
      </w:r>
      <w:r>
        <w:br/>
      </w:r>
      <w:r>
        <w:br/>
      </w:r>
      <w:r w:rsidRPr="5F5F54A2">
        <w:rPr>
          <w:b/>
          <w:bCs/>
        </w:rPr>
        <w:t>Scope 3 (other indirect emissions):</w:t>
      </w:r>
      <w:r w:rsidRPr="5F5F54A2">
        <w:t xml:space="preserve"> Emissions that are a direct result of the operations of the organisation but from sources not owned or operated by it (examples include embedded emissions in raw materials such as bricks and concrete, and haulage and disposal of materials and waste).</w:t>
      </w:r>
    </w:p>
    <w:p w14:paraId="0B04C36E" w14:textId="4723E3B9" w:rsidR="00D5469D" w:rsidRPr="00157FC0" w:rsidRDefault="00D5469D" w:rsidP="00E66862">
      <w:pPr>
        <w:pStyle w:val="ListBullet"/>
        <w:numPr>
          <w:ilvl w:val="0"/>
          <w:numId w:val="0"/>
        </w:numPr>
        <w:ind w:left="284"/>
      </w:pPr>
      <w:r w:rsidRPr="5F5F54A2">
        <w:t>A number of the emissions associated with the Project are Scope 3 emissions, such as embedded emissions in construction materials and fuel produced externally to the Project. The Greenhouse Gas Protocol</w:t>
      </w:r>
      <w:r w:rsidR="00B135FE" w:rsidRPr="5F5F54A2">
        <w:t xml:space="preserve">, </w:t>
      </w:r>
      <w:r w:rsidRPr="5F5F54A2">
        <w:t>and many other reporting schemes</w:t>
      </w:r>
      <w:r w:rsidR="00B135FE" w:rsidRPr="5F5F54A2">
        <w:t>,</w:t>
      </w:r>
      <w:r w:rsidRPr="5F5F54A2">
        <w:t xml:space="preserve"> require the reporting of Scope 1 and 2 sources, whilst reporting of Scope 3 sources is optional. Similarly, Scope 3 </w:t>
      </w:r>
      <w:r w:rsidR="00E30DF3" w:rsidRPr="00E30DF3">
        <w:t>greenhouse gas</w:t>
      </w:r>
      <w:r w:rsidR="00E30DF3" w:rsidRPr="00E30DF3" w:rsidDel="00E30DF3">
        <w:t xml:space="preserve"> </w:t>
      </w:r>
      <w:r w:rsidRPr="5F5F54A2">
        <w:t xml:space="preserve">emissions are not reported under the NGER Scheme. As such, while Scope 3 emissions were quantified in the technical investigation and considered in the overall greenhouse gas estimates, they did not inform the impact </w:t>
      </w:r>
      <w:r w:rsidR="00B135FE" w:rsidRPr="5F5F54A2">
        <w:t>ratings</w:t>
      </w:r>
      <w:r w:rsidRPr="5F5F54A2">
        <w:t xml:space="preserve"> for the Project.</w:t>
      </w:r>
    </w:p>
    <w:p w14:paraId="7DEBA9AB" w14:textId="38256038" w:rsidR="003502F2" w:rsidRDefault="006C5F45" w:rsidP="006C5F45">
      <w:pPr>
        <w:pStyle w:val="ListBullet"/>
      </w:pPr>
      <w:r w:rsidRPr="5F5F54A2">
        <w:t xml:space="preserve">Identifying relevant </w:t>
      </w:r>
      <w:r w:rsidR="004D45C9">
        <w:t xml:space="preserve">future </w:t>
      </w:r>
      <w:r w:rsidRPr="5F5F54A2">
        <w:t xml:space="preserve">projects that could lead to cumulative impacts when considered together with the Project (refer to </w:t>
      </w:r>
      <w:r w:rsidRPr="00712812">
        <w:rPr>
          <w:b/>
          <w:bCs/>
        </w:rPr>
        <w:t>Chapter 4: EES assessment framework and approach</w:t>
      </w:r>
      <w:r w:rsidRPr="5F5F54A2">
        <w:t xml:space="preserve"> for the full cumulative impact assessment method).</w:t>
      </w:r>
    </w:p>
    <w:p w14:paraId="499C760E" w14:textId="0CE90D67" w:rsidR="009247E1" w:rsidRPr="009247E1" w:rsidRDefault="009247E1" w:rsidP="009247E1">
      <w:pPr>
        <w:pStyle w:val="ListBullet"/>
      </w:pPr>
      <w:r w:rsidRPr="5F5F54A2">
        <w:t xml:space="preserve">Developing EPRs in response to the impact assessment to define the required environmental outcomes that the Project must achieve through the implementation of mitigation measures during construction, operation and decommissioning. Measures to reduce the potential impacts were proposed in accordance with the mitigation hierarchy (avoid, minimise, manage, rehabilitate and offset) and have informed the development of EPRs. Alternative mitigation measures could be implemented to comply with the EPRs based on the specific site conditions, available resources, and the </w:t>
      </w:r>
      <w:r w:rsidR="000627A7" w:rsidRPr="5F5F54A2">
        <w:t>Principal C</w:t>
      </w:r>
      <w:r w:rsidRPr="5F5F54A2">
        <w:t>ontractor’s expertise.</w:t>
      </w:r>
    </w:p>
    <w:p w14:paraId="05D8D0D7" w14:textId="63B3DFB7" w:rsidR="0034790D" w:rsidRDefault="00206B5B" w:rsidP="00712812">
      <w:pPr>
        <w:pStyle w:val="ListBullet"/>
      </w:pPr>
      <w:r>
        <w:t>Following application of mitigation measures that would comply with the EPRs</w:t>
      </w:r>
      <w:r w:rsidR="009F5AAF">
        <w:t>, d</w:t>
      </w:r>
      <w:r w:rsidR="0050646D" w:rsidRPr="5F5F54A2">
        <w:t>etermining residual impacts associated with the construction, operation and decommissioning of the Project</w:t>
      </w:r>
      <w:r w:rsidR="00FB4991" w:rsidRPr="5F5F54A2">
        <w:t>, and evaluating their significance</w:t>
      </w:r>
      <w:r w:rsidR="0050646D" w:rsidRPr="5F5F54A2">
        <w:t>.</w:t>
      </w:r>
    </w:p>
    <w:p w14:paraId="46E36634" w14:textId="7F36CD47" w:rsidR="00B008C5" w:rsidRDefault="00B008C5" w:rsidP="00781F8A">
      <w:pPr>
        <w:pStyle w:val="Heading2"/>
      </w:pPr>
      <w:bookmarkStart w:id="9" w:name="_Ref182584483"/>
      <w:bookmarkStart w:id="10" w:name="_Toc182582721"/>
      <w:bookmarkStart w:id="11" w:name="_Toc201071038"/>
      <w:r>
        <w:lastRenderedPageBreak/>
        <w:t>Existing conditions</w:t>
      </w:r>
      <w:bookmarkEnd w:id="9"/>
      <w:bookmarkEnd w:id="10"/>
      <w:bookmarkEnd w:id="11"/>
    </w:p>
    <w:p w14:paraId="7045E5B1" w14:textId="091BD87F" w:rsidR="00DA6875" w:rsidRDefault="00B008C5" w:rsidP="00781F8A">
      <w:pPr>
        <w:keepNext/>
        <w:keepLines/>
        <w:rPr>
          <w:color w:val="FF0000"/>
        </w:rPr>
      </w:pPr>
      <w:r>
        <w:t xml:space="preserve">This section summarises the existing conditions for </w:t>
      </w:r>
      <w:r w:rsidR="00101C21" w:rsidRPr="00A06137">
        <w:t>g</w:t>
      </w:r>
      <w:r w:rsidR="00A464F1" w:rsidRPr="00A06137">
        <w:t>reenhouse gas</w:t>
      </w:r>
      <w:r w:rsidR="0057616F" w:rsidRPr="00A06137">
        <w:t xml:space="preserve"> </w:t>
      </w:r>
      <w:r w:rsidR="00A45D3B" w:rsidRPr="00A06137">
        <w:t xml:space="preserve">emissions produced in </w:t>
      </w:r>
      <w:r w:rsidR="00AB2A3B" w:rsidRPr="00A06137">
        <w:t xml:space="preserve">Victoria and </w:t>
      </w:r>
      <w:r w:rsidR="00A45D3B" w:rsidRPr="00A06137">
        <w:t>Australia</w:t>
      </w:r>
      <w:r w:rsidR="00AB2A3B" w:rsidRPr="00A06137">
        <w:t xml:space="preserve">, to </w:t>
      </w:r>
      <w:r w:rsidR="00FC7842" w:rsidRPr="00A06137">
        <w:t>understand baseline greenhouse gas emissions</w:t>
      </w:r>
      <w:r w:rsidR="00AB2A3B" w:rsidRPr="00A06137">
        <w:t xml:space="preserve"> for comparison </w:t>
      </w:r>
      <w:r w:rsidR="00FC7842" w:rsidRPr="00A06137">
        <w:t>with</w:t>
      </w:r>
      <w:r w:rsidR="0095173B" w:rsidRPr="00A06137">
        <w:t xml:space="preserve"> </w:t>
      </w:r>
      <w:r w:rsidR="00FC7842" w:rsidRPr="00A06137">
        <w:t>Project emissions.</w:t>
      </w:r>
      <w:r w:rsidR="00B135FE">
        <w:t xml:space="preserve"> </w:t>
      </w:r>
    </w:p>
    <w:p w14:paraId="67B575B1" w14:textId="7850E53E" w:rsidR="00AE563C" w:rsidRDefault="00AE563C" w:rsidP="00781F8A">
      <w:pPr>
        <w:keepNext/>
        <w:keepLines/>
      </w:pPr>
      <w:r>
        <w:t xml:space="preserve">Greenhouse gas emissions produced in Victoria and Australia are tracked through the Australian National Greenhouse Accounts, a series of reports published by </w:t>
      </w:r>
      <w:r w:rsidR="00380170">
        <w:t>the DISER.</w:t>
      </w:r>
      <w:r>
        <w:t xml:space="preserve"> The Australian Greenhouse Emissions Information System provides detailed emissions data drawn from the National Greenhouse Accounts. Victorian and Australian greenhouse gas emissions over the last ten years of available data (2012 to 2022) are shown in </w:t>
      </w:r>
      <w:r>
        <w:fldChar w:fldCharType="begin"/>
      </w:r>
      <w:r>
        <w:instrText xml:space="preserve"> REF _Ref124257542 \h </w:instrText>
      </w:r>
      <w:r>
        <w:fldChar w:fldCharType="separate"/>
      </w:r>
      <w:r w:rsidR="00D261E5">
        <w:t xml:space="preserve">Table </w:t>
      </w:r>
      <w:r w:rsidR="00D261E5">
        <w:rPr>
          <w:noProof/>
        </w:rPr>
        <w:t>26.1</w:t>
      </w:r>
      <w:r>
        <w:fldChar w:fldCharType="end"/>
      </w:r>
      <w:r>
        <w:t>.</w:t>
      </w:r>
    </w:p>
    <w:p w14:paraId="377108B4" w14:textId="5001A59F" w:rsidR="00AE563C" w:rsidRPr="00CE04EB" w:rsidRDefault="00AE563C" w:rsidP="00781F8A">
      <w:pPr>
        <w:pStyle w:val="Caption"/>
        <w:keepNext/>
        <w:keepLines/>
        <w:spacing w:before="240"/>
        <w:rPr>
          <w:rStyle w:val="CaptionChar"/>
        </w:rPr>
      </w:pPr>
      <w:bookmarkStart w:id="12" w:name="_Ref124257542"/>
      <w:bookmarkStart w:id="13" w:name="_Toc124262540"/>
      <w:r>
        <w:t xml:space="preserve">Table </w:t>
      </w:r>
      <w:fldSimple w:instr=" STYLEREF 1 \s ">
        <w:r w:rsidR="00880487">
          <w:rPr>
            <w:noProof/>
          </w:rPr>
          <w:t>26</w:t>
        </w:r>
      </w:fldSimple>
      <w:r w:rsidR="009F5AAF">
        <w:rPr>
          <w:noProof/>
        </w:rPr>
        <w:t>.</w:t>
      </w:r>
      <w:fldSimple w:instr=" SEQ Table \* ARABIC \s 1 ">
        <w:r w:rsidR="00880487">
          <w:rPr>
            <w:noProof/>
          </w:rPr>
          <w:t>1</w:t>
        </w:r>
      </w:fldSimple>
      <w:bookmarkEnd w:id="12"/>
      <w:r w:rsidRPr="00CE04EB">
        <w:t xml:space="preserve"> </w:t>
      </w:r>
      <w:r w:rsidRPr="00CE04EB">
        <w:rPr>
          <w:rStyle w:val="CaptionChar"/>
        </w:rPr>
        <w:t>Victorian and Australian greenhouse gas emissions, 201</w:t>
      </w:r>
      <w:r>
        <w:rPr>
          <w:rStyle w:val="CaptionChar"/>
        </w:rPr>
        <w:t>2</w:t>
      </w:r>
      <w:r w:rsidRPr="00CE04EB">
        <w:rPr>
          <w:rStyle w:val="CaptionChar"/>
        </w:rPr>
        <w:t xml:space="preserve"> to 202</w:t>
      </w:r>
      <w:r>
        <w:rPr>
          <w:rStyle w:val="CaptionChar"/>
        </w:rPr>
        <w:t>2</w:t>
      </w:r>
      <w:bookmarkEnd w:id="13"/>
    </w:p>
    <w:tbl>
      <w:tblPr>
        <w:tblStyle w:val="WVTTable2"/>
        <w:tblW w:w="5000" w:type="pct"/>
        <w:tblLook w:val="04A0" w:firstRow="1" w:lastRow="0" w:firstColumn="1" w:lastColumn="0" w:noHBand="0" w:noVBand="1"/>
      </w:tblPr>
      <w:tblGrid>
        <w:gridCol w:w="1947"/>
        <w:gridCol w:w="647"/>
        <w:gridCol w:w="647"/>
        <w:gridCol w:w="647"/>
        <w:gridCol w:w="648"/>
        <w:gridCol w:w="648"/>
        <w:gridCol w:w="648"/>
        <w:gridCol w:w="648"/>
        <w:gridCol w:w="648"/>
        <w:gridCol w:w="648"/>
        <w:gridCol w:w="648"/>
        <w:gridCol w:w="646"/>
      </w:tblGrid>
      <w:tr w:rsidR="00AE563C" w:rsidRPr="00C74763" w14:paraId="104DCBEC" w14:textId="77777777" w:rsidTr="00781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vMerge w:val="restart"/>
            <w:hideMark/>
          </w:tcPr>
          <w:p w14:paraId="0667AF78" w14:textId="77777777" w:rsidR="00AE563C" w:rsidRPr="00C74763" w:rsidRDefault="00AE563C" w:rsidP="00781F8A">
            <w:pPr>
              <w:pStyle w:val="TableText"/>
              <w:rPr>
                <w:lang w:val="en-US"/>
              </w:rPr>
            </w:pPr>
            <w:r w:rsidRPr="00C74763">
              <w:rPr>
                <w:lang w:val="en-US"/>
              </w:rPr>
              <w:t>Source of emissions</w:t>
            </w:r>
          </w:p>
        </w:tc>
        <w:tc>
          <w:tcPr>
            <w:tcW w:w="3569" w:type="pct"/>
            <w:gridSpan w:val="10"/>
            <w:hideMark/>
          </w:tcPr>
          <w:p w14:paraId="52C34C69" w14:textId="77777777" w:rsidR="00AE563C" w:rsidRPr="00C74763" w:rsidRDefault="00AE563C" w:rsidP="00781F8A">
            <w:pPr>
              <w:pStyle w:val="TableText"/>
              <w:cnfStyle w:val="100000000000" w:firstRow="1" w:lastRow="0" w:firstColumn="0" w:lastColumn="0" w:oddVBand="0" w:evenVBand="0" w:oddHBand="0" w:evenHBand="0" w:firstRowFirstColumn="0" w:firstRowLastColumn="0" w:lastRowFirstColumn="0" w:lastRowLastColumn="0"/>
              <w:rPr>
                <w:lang w:val="en-US"/>
              </w:rPr>
            </w:pPr>
            <w:r w:rsidRPr="00C74763">
              <w:rPr>
                <w:lang w:val="en-US"/>
              </w:rPr>
              <w:t>Reported greenhouse gas emissions (Mt CO</w:t>
            </w:r>
            <w:r w:rsidRPr="00C74763">
              <w:rPr>
                <w:vertAlign w:val="subscript"/>
                <w:lang w:val="en-US"/>
              </w:rPr>
              <w:t>2</w:t>
            </w:r>
            <w:r w:rsidRPr="00C74763">
              <w:rPr>
                <w:lang w:val="en-US"/>
              </w:rPr>
              <w:t>e)</w:t>
            </w:r>
          </w:p>
        </w:tc>
        <w:tc>
          <w:tcPr>
            <w:tcW w:w="357" w:type="pct"/>
          </w:tcPr>
          <w:p w14:paraId="29572C5E" w14:textId="77777777" w:rsidR="00AE563C" w:rsidRPr="00C74763" w:rsidRDefault="00AE563C" w:rsidP="00781F8A">
            <w:pPr>
              <w:pStyle w:val="TableText"/>
              <w:cnfStyle w:val="100000000000" w:firstRow="1" w:lastRow="0" w:firstColumn="0" w:lastColumn="0" w:oddVBand="0" w:evenVBand="0" w:oddHBand="0" w:evenHBand="0" w:firstRowFirstColumn="0" w:firstRowLastColumn="0" w:lastRowFirstColumn="0" w:lastRowLastColumn="0"/>
              <w:rPr>
                <w:lang w:val="en-US"/>
              </w:rPr>
            </w:pPr>
          </w:p>
        </w:tc>
      </w:tr>
      <w:tr w:rsidR="00AE563C" w:rsidRPr="00C74763" w14:paraId="56A3F91E" w14:textId="77777777" w:rsidTr="00781F8A">
        <w:tc>
          <w:tcPr>
            <w:cnfStyle w:val="001000000000" w:firstRow="0" w:lastRow="0" w:firstColumn="1" w:lastColumn="0" w:oddVBand="0" w:evenVBand="0" w:oddHBand="0" w:evenHBand="0" w:firstRowFirstColumn="0" w:firstRowLastColumn="0" w:lastRowFirstColumn="0" w:lastRowLastColumn="0"/>
            <w:tcW w:w="1074" w:type="pct"/>
            <w:vMerge/>
            <w:hideMark/>
          </w:tcPr>
          <w:p w14:paraId="1394D1F0" w14:textId="77777777" w:rsidR="00AE563C" w:rsidRPr="00C74763" w:rsidRDefault="00AE563C" w:rsidP="00781F8A">
            <w:pPr>
              <w:pStyle w:val="TableText"/>
              <w:rPr>
                <w:lang w:val="en-US"/>
              </w:rPr>
            </w:pPr>
          </w:p>
        </w:tc>
        <w:tc>
          <w:tcPr>
            <w:tcW w:w="357" w:type="pct"/>
            <w:shd w:val="clear" w:color="auto" w:fill="6D6868" w:themeFill="accent2"/>
            <w:hideMark/>
          </w:tcPr>
          <w:p w14:paraId="4F469650"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2012</w:t>
            </w:r>
          </w:p>
        </w:tc>
        <w:tc>
          <w:tcPr>
            <w:tcW w:w="357" w:type="pct"/>
            <w:shd w:val="clear" w:color="auto" w:fill="6D6868" w:themeFill="accent2"/>
            <w:hideMark/>
          </w:tcPr>
          <w:p w14:paraId="620168C1"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2013</w:t>
            </w:r>
          </w:p>
        </w:tc>
        <w:tc>
          <w:tcPr>
            <w:tcW w:w="357" w:type="pct"/>
            <w:shd w:val="clear" w:color="auto" w:fill="6D6868" w:themeFill="accent2"/>
            <w:hideMark/>
          </w:tcPr>
          <w:p w14:paraId="6B1CB151"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2014</w:t>
            </w:r>
          </w:p>
        </w:tc>
        <w:tc>
          <w:tcPr>
            <w:tcW w:w="357" w:type="pct"/>
            <w:shd w:val="clear" w:color="auto" w:fill="6D6868" w:themeFill="accent2"/>
            <w:hideMark/>
          </w:tcPr>
          <w:p w14:paraId="46CB5E45"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2015</w:t>
            </w:r>
          </w:p>
        </w:tc>
        <w:tc>
          <w:tcPr>
            <w:tcW w:w="357" w:type="pct"/>
            <w:shd w:val="clear" w:color="auto" w:fill="6D6868" w:themeFill="accent2"/>
            <w:hideMark/>
          </w:tcPr>
          <w:p w14:paraId="02EC6200"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2016</w:t>
            </w:r>
          </w:p>
        </w:tc>
        <w:tc>
          <w:tcPr>
            <w:tcW w:w="357" w:type="pct"/>
            <w:shd w:val="clear" w:color="auto" w:fill="6D6868" w:themeFill="accent2"/>
            <w:hideMark/>
          </w:tcPr>
          <w:p w14:paraId="417840D0"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2017</w:t>
            </w:r>
          </w:p>
        </w:tc>
        <w:tc>
          <w:tcPr>
            <w:tcW w:w="357" w:type="pct"/>
            <w:shd w:val="clear" w:color="auto" w:fill="6D6868" w:themeFill="accent2"/>
            <w:hideMark/>
          </w:tcPr>
          <w:p w14:paraId="3D5B48DA"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2018</w:t>
            </w:r>
          </w:p>
        </w:tc>
        <w:tc>
          <w:tcPr>
            <w:tcW w:w="357" w:type="pct"/>
            <w:shd w:val="clear" w:color="auto" w:fill="6D6868" w:themeFill="accent2"/>
            <w:hideMark/>
          </w:tcPr>
          <w:p w14:paraId="7206A324"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2019</w:t>
            </w:r>
          </w:p>
        </w:tc>
        <w:tc>
          <w:tcPr>
            <w:tcW w:w="357" w:type="pct"/>
            <w:shd w:val="clear" w:color="auto" w:fill="6D6868" w:themeFill="accent2"/>
            <w:hideMark/>
          </w:tcPr>
          <w:p w14:paraId="03AD9504"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2020</w:t>
            </w:r>
          </w:p>
        </w:tc>
        <w:tc>
          <w:tcPr>
            <w:tcW w:w="357" w:type="pct"/>
            <w:shd w:val="clear" w:color="auto" w:fill="6D6868" w:themeFill="accent2"/>
            <w:hideMark/>
          </w:tcPr>
          <w:p w14:paraId="353A7486"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2021</w:t>
            </w:r>
          </w:p>
        </w:tc>
        <w:tc>
          <w:tcPr>
            <w:tcW w:w="357" w:type="pct"/>
            <w:shd w:val="clear" w:color="auto" w:fill="6D6868" w:themeFill="accent2"/>
          </w:tcPr>
          <w:p w14:paraId="1E9509C1" w14:textId="77777777" w:rsidR="00AE563C" w:rsidRPr="00781F8A" w:rsidRDefault="00AE563C" w:rsidP="00781F8A">
            <w:pPr>
              <w:pStyle w:val="TableText"/>
              <w:cnfStyle w:val="000000000000" w:firstRow="0" w:lastRow="0" w:firstColumn="0" w:lastColumn="0" w:oddVBand="0" w:evenVBand="0" w:oddHBand="0" w:evenHBand="0" w:firstRowFirstColumn="0" w:firstRowLastColumn="0" w:lastRowFirstColumn="0" w:lastRowLastColumn="0"/>
              <w:rPr>
                <w:b/>
                <w:bCs/>
                <w:color w:val="FFFFFF" w:themeColor="background2"/>
                <w:lang w:val="en-US"/>
              </w:rPr>
            </w:pPr>
            <w:r w:rsidRPr="00781F8A">
              <w:rPr>
                <w:b/>
                <w:bCs/>
                <w:color w:val="FFFFFF" w:themeColor="background2"/>
                <w:lang w:val="en-US"/>
              </w:rPr>
              <w:t>2022</w:t>
            </w:r>
          </w:p>
        </w:tc>
      </w:tr>
      <w:tr w:rsidR="00AE563C" w:rsidRPr="00C74763" w14:paraId="5CB0DB9C" w14:textId="77777777" w:rsidTr="00781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hideMark/>
          </w:tcPr>
          <w:p w14:paraId="6B98E317" w14:textId="77777777" w:rsidR="00AE563C" w:rsidRPr="00C74763" w:rsidRDefault="00AE563C" w:rsidP="00781F8A">
            <w:pPr>
              <w:pStyle w:val="TableText"/>
            </w:pPr>
            <w:r w:rsidRPr="00C74763">
              <w:t>Victoria</w:t>
            </w:r>
          </w:p>
        </w:tc>
        <w:tc>
          <w:tcPr>
            <w:tcW w:w="357" w:type="pct"/>
            <w:hideMark/>
          </w:tcPr>
          <w:p w14:paraId="634CD879"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rsidRPr="00C74763">
              <w:t>1</w:t>
            </w:r>
            <w:r>
              <w:t>33</w:t>
            </w:r>
          </w:p>
        </w:tc>
        <w:tc>
          <w:tcPr>
            <w:tcW w:w="357" w:type="pct"/>
            <w:hideMark/>
          </w:tcPr>
          <w:p w14:paraId="1619822F"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rsidRPr="00C74763">
              <w:t>1</w:t>
            </w:r>
            <w:r>
              <w:t>20</w:t>
            </w:r>
          </w:p>
        </w:tc>
        <w:tc>
          <w:tcPr>
            <w:tcW w:w="357" w:type="pct"/>
            <w:hideMark/>
          </w:tcPr>
          <w:p w14:paraId="6BA411F3"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rsidRPr="00C74763">
              <w:t>1</w:t>
            </w:r>
            <w:r>
              <w:t>13</w:t>
            </w:r>
          </w:p>
        </w:tc>
        <w:tc>
          <w:tcPr>
            <w:tcW w:w="357" w:type="pct"/>
            <w:hideMark/>
          </w:tcPr>
          <w:p w14:paraId="10517F0E"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rsidRPr="00C74763">
              <w:t>1</w:t>
            </w:r>
            <w:r>
              <w:t>13</w:t>
            </w:r>
          </w:p>
        </w:tc>
        <w:tc>
          <w:tcPr>
            <w:tcW w:w="357" w:type="pct"/>
            <w:hideMark/>
          </w:tcPr>
          <w:p w14:paraId="21840598"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rsidRPr="00C74763">
              <w:t>1</w:t>
            </w:r>
            <w:r>
              <w:t>04</w:t>
            </w:r>
          </w:p>
        </w:tc>
        <w:tc>
          <w:tcPr>
            <w:tcW w:w="357" w:type="pct"/>
            <w:hideMark/>
          </w:tcPr>
          <w:p w14:paraId="60D752F6"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rsidRPr="00C74763">
              <w:t>1</w:t>
            </w:r>
            <w:r>
              <w:t>00</w:t>
            </w:r>
          </w:p>
        </w:tc>
        <w:tc>
          <w:tcPr>
            <w:tcW w:w="357" w:type="pct"/>
            <w:hideMark/>
          </w:tcPr>
          <w:p w14:paraId="3F9690CB"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t>91</w:t>
            </w:r>
          </w:p>
        </w:tc>
        <w:tc>
          <w:tcPr>
            <w:tcW w:w="357" w:type="pct"/>
            <w:hideMark/>
          </w:tcPr>
          <w:p w14:paraId="0E3D8508"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t>87</w:t>
            </w:r>
          </w:p>
        </w:tc>
        <w:tc>
          <w:tcPr>
            <w:tcW w:w="357" w:type="pct"/>
            <w:hideMark/>
          </w:tcPr>
          <w:p w14:paraId="692529BE"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t>83</w:t>
            </w:r>
          </w:p>
        </w:tc>
        <w:tc>
          <w:tcPr>
            <w:tcW w:w="357" w:type="pct"/>
            <w:hideMark/>
          </w:tcPr>
          <w:p w14:paraId="51BF53CF"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rsidRPr="00C74763">
              <w:t>8</w:t>
            </w:r>
            <w:r>
              <w:t>0</w:t>
            </w:r>
          </w:p>
        </w:tc>
        <w:tc>
          <w:tcPr>
            <w:tcW w:w="357" w:type="pct"/>
          </w:tcPr>
          <w:p w14:paraId="33FF1AB8" w14:textId="77777777" w:rsidR="00AE563C" w:rsidRPr="00C74763" w:rsidRDefault="00AE563C" w:rsidP="00781F8A">
            <w:pPr>
              <w:pStyle w:val="TableText"/>
              <w:cnfStyle w:val="000000010000" w:firstRow="0" w:lastRow="0" w:firstColumn="0" w:lastColumn="0" w:oddVBand="0" w:evenVBand="0" w:oddHBand="0" w:evenHBand="1" w:firstRowFirstColumn="0" w:firstRowLastColumn="0" w:lastRowFirstColumn="0" w:lastRowLastColumn="0"/>
            </w:pPr>
            <w:r w:rsidRPr="00C74763">
              <w:t>8</w:t>
            </w:r>
            <w:r>
              <w:t>5</w:t>
            </w:r>
          </w:p>
        </w:tc>
      </w:tr>
      <w:tr w:rsidR="00AE563C" w:rsidRPr="00C74763" w14:paraId="1638E5FE" w14:textId="77777777" w:rsidTr="00781F8A">
        <w:tc>
          <w:tcPr>
            <w:cnfStyle w:val="001000000000" w:firstRow="0" w:lastRow="0" w:firstColumn="1" w:lastColumn="0" w:oddVBand="0" w:evenVBand="0" w:oddHBand="0" w:evenHBand="0" w:firstRowFirstColumn="0" w:firstRowLastColumn="0" w:lastRowFirstColumn="0" w:lastRowLastColumn="0"/>
            <w:tcW w:w="1074" w:type="pct"/>
            <w:hideMark/>
          </w:tcPr>
          <w:p w14:paraId="07E5D68D" w14:textId="77777777" w:rsidR="00AE563C" w:rsidRPr="00C74763" w:rsidRDefault="00AE563C" w:rsidP="00781F8A">
            <w:pPr>
              <w:pStyle w:val="TableText"/>
            </w:pPr>
            <w:r w:rsidRPr="00C74763">
              <w:t>Australia</w:t>
            </w:r>
          </w:p>
        </w:tc>
        <w:tc>
          <w:tcPr>
            <w:tcW w:w="357" w:type="pct"/>
            <w:hideMark/>
          </w:tcPr>
          <w:p w14:paraId="1764A1C3"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t>579</w:t>
            </w:r>
          </w:p>
        </w:tc>
        <w:tc>
          <w:tcPr>
            <w:tcW w:w="357" w:type="pct"/>
            <w:hideMark/>
          </w:tcPr>
          <w:p w14:paraId="0A9E74B5"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rsidRPr="00C74763">
              <w:t>5</w:t>
            </w:r>
            <w:r>
              <w:t>61</w:t>
            </w:r>
          </w:p>
        </w:tc>
        <w:tc>
          <w:tcPr>
            <w:tcW w:w="357" w:type="pct"/>
            <w:hideMark/>
          </w:tcPr>
          <w:p w14:paraId="7BF00670"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rsidRPr="00C74763">
              <w:t>5</w:t>
            </w:r>
            <w:r>
              <w:t>56</w:t>
            </w:r>
          </w:p>
        </w:tc>
        <w:tc>
          <w:tcPr>
            <w:tcW w:w="357" w:type="pct"/>
            <w:hideMark/>
          </w:tcPr>
          <w:p w14:paraId="4233E9DA"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rsidRPr="00C74763">
              <w:t>5</w:t>
            </w:r>
            <w:r>
              <w:t>41</w:t>
            </w:r>
          </w:p>
        </w:tc>
        <w:tc>
          <w:tcPr>
            <w:tcW w:w="357" w:type="pct"/>
            <w:hideMark/>
          </w:tcPr>
          <w:p w14:paraId="5C9F3114"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rsidRPr="00C74763">
              <w:t>5</w:t>
            </w:r>
            <w:r>
              <w:t>12</w:t>
            </w:r>
          </w:p>
        </w:tc>
        <w:tc>
          <w:tcPr>
            <w:tcW w:w="357" w:type="pct"/>
            <w:hideMark/>
          </w:tcPr>
          <w:p w14:paraId="622AA0C8"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rsidRPr="00C74763">
              <w:t>5</w:t>
            </w:r>
            <w:r>
              <w:t>10</w:t>
            </w:r>
          </w:p>
        </w:tc>
        <w:tc>
          <w:tcPr>
            <w:tcW w:w="357" w:type="pct"/>
            <w:hideMark/>
          </w:tcPr>
          <w:p w14:paraId="186714AA"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rsidRPr="00C74763">
              <w:t>5</w:t>
            </w:r>
            <w:r>
              <w:t>14</w:t>
            </w:r>
          </w:p>
        </w:tc>
        <w:tc>
          <w:tcPr>
            <w:tcW w:w="357" w:type="pct"/>
            <w:hideMark/>
          </w:tcPr>
          <w:p w14:paraId="459088D6"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rsidRPr="00C74763">
              <w:t>5</w:t>
            </w:r>
            <w:r>
              <w:t>06</w:t>
            </w:r>
          </w:p>
        </w:tc>
        <w:tc>
          <w:tcPr>
            <w:tcW w:w="357" w:type="pct"/>
            <w:hideMark/>
          </w:tcPr>
          <w:p w14:paraId="54DE53BB"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t>494</w:t>
            </w:r>
          </w:p>
        </w:tc>
        <w:tc>
          <w:tcPr>
            <w:tcW w:w="357" w:type="pct"/>
            <w:hideMark/>
          </w:tcPr>
          <w:p w14:paraId="703F0C8A"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t>465</w:t>
            </w:r>
          </w:p>
        </w:tc>
        <w:tc>
          <w:tcPr>
            <w:tcW w:w="357" w:type="pct"/>
          </w:tcPr>
          <w:p w14:paraId="3DD101A5" w14:textId="77777777" w:rsidR="00AE563C" w:rsidRPr="00C74763" w:rsidRDefault="00AE563C" w:rsidP="00781F8A">
            <w:pPr>
              <w:pStyle w:val="TableText"/>
              <w:cnfStyle w:val="000000000000" w:firstRow="0" w:lastRow="0" w:firstColumn="0" w:lastColumn="0" w:oddVBand="0" w:evenVBand="0" w:oddHBand="0" w:evenHBand="0" w:firstRowFirstColumn="0" w:firstRowLastColumn="0" w:lastRowFirstColumn="0" w:lastRowLastColumn="0"/>
            </w:pPr>
            <w:r w:rsidRPr="00C74763">
              <w:t>4</w:t>
            </w:r>
            <w:r>
              <w:t>33</w:t>
            </w:r>
          </w:p>
        </w:tc>
      </w:tr>
    </w:tbl>
    <w:p w14:paraId="57E9B1A6" w14:textId="7391F281" w:rsidR="00AE563C" w:rsidRDefault="00AE563C" w:rsidP="00E66862">
      <w:pPr>
        <w:spacing w:before="240" w:after="360"/>
      </w:pPr>
      <w:r w:rsidRPr="00C74763">
        <w:t xml:space="preserve">As shown in </w:t>
      </w:r>
      <w:r>
        <w:fldChar w:fldCharType="begin"/>
      </w:r>
      <w:r>
        <w:instrText xml:space="preserve"> REF _Ref124255546 \h </w:instrText>
      </w:r>
      <w:r>
        <w:fldChar w:fldCharType="separate"/>
      </w:r>
      <w:r w:rsidR="009F5AAF">
        <w:t>Figure 26.</w:t>
      </w:r>
      <w:r w:rsidR="009F5AAF">
        <w:rPr>
          <w:noProof/>
        </w:rPr>
        <w:t>1</w:t>
      </w:r>
      <w:r>
        <w:fldChar w:fldCharType="end"/>
      </w:r>
      <w:r w:rsidRPr="00C74763">
        <w:t xml:space="preserve">, greenhouse gas emissions </w:t>
      </w:r>
      <w:r w:rsidR="006D6AAF">
        <w:t xml:space="preserve">in Australia and Victoria </w:t>
      </w:r>
      <w:r w:rsidRPr="00C74763">
        <w:t>have been steadily trending downwards.</w:t>
      </w:r>
    </w:p>
    <w:p w14:paraId="1EBF4F0F" w14:textId="20E8A9AB" w:rsidR="002F2A71" w:rsidRDefault="002F2A71" w:rsidP="00AE563C">
      <w:r>
        <w:rPr>
          <w:noProof/>
        </w:rPr>
        <w:drawing>
          <wp:inline distT="0" distB="0" distL="0" distR="0" wp14:anchorId="18C1D213" wp14:editId="6D4F1C44">
            <wp:extent cx="5759450" cy="2754630"/>
            <wp:effectExtent l="0" t="0" r="0" b="7620"/>
            <wp:docPr id="12385408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40896" name="Picture 123854089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59450" cy="2754630"/>
                    </a:xfrm>
                    <a:prstGeom prst="rect">
                      <a:avLst/>
                    </a:prstGeom>
                  </pic:spPr>
                </pic:pic>
              </a:graphicData>
            </a:graphic>
          </wp:inline>
        </w:drawing>
      </w:r>
    </w:p>
    <w:p w14:paraId="77501BA1" w14:textId="1EAE3D47" w:rsidR="00AE563C" w:rsidRDefault="00AE563C" w:rsidP="00781F8A">
      <w:pPr>
        <w:pStyle w:val="Caption"/>
        <w:spacing w:before="240" w:after="240"/>
      </w:pPr>
      <w:bookmarkStart w:id="14" w:name="_Ref124255546"/>
      <w:bookmarkStart w:id="15" w:name="_Toc124262606"/>
      <w:r>
        <w:t xml:space="preserve">Figure </w:t>
      </w:r>
      <w:r w:rsidR="004D2054">
        <w:t>26</w:t>
      </w:r>
      <w:r w:rsidR="009F5AAF">
        <w:t>.</w:t>
      </w:r>
      <w:fldSimple w:instr=" SEQ Figure \* ARABIC ">
        <w:r w:rsidR="00880487">
          <w:rPr>
            <w:noProof/>
          </w:rPr>
          <w:t>1</w:t>
        </w:r>
      </w:fldSimple>
      <w:bookmarkEnd w:id="14"/>
      <w:r>
        <w:t xml:space="preserve"> Trends in Victorian and Australian greenhouse gas emissions, 2012 - 2022</w:t>
      </w:r>
      <w:bookmarkEnd w:id="15"/>
    </w:p>
    <w:p w14:paraId="5740F589" w14:textId="5AE676AE" w:rsidR="00AE563C" w:rsidRDefault="00AE563C" w:rsidP="003F6219">
      <w:pPr>
        <w:spacing w:before="240"/>
      </w:pPr>
      <w:r>
        <w:t>A</w:t>
      </w:r>
      <w:r w:rsidR="002D683C">
        <w:t>t th</w:t>
      </w:r>
      <w:r w:rsidR="00635946">
        <w:t xml:space="preserve">e time of </w:t>
      </w:r>
      <w:r w:rsidR="00326F0B">
        <w:t>assessment,</w:t>
      </w:r>
      <w:r w:rsidR="00635946">
        <w:t xml:space="preserve"> </w:t>
      </w:r>
      <w:r w:rsidR="00B3599A">
        <w:t>the</w:t>
      </w:r>
      <w:r>
        <w:t xml:space="preserve"> data for 2023 and 2024 </w:t>
      </w:r>
      <w:r w:rsidR="00B3599A">
        <w:t xml:space="preserve">were </w:t>
      </w:r>
      <w:r>
        <w:t xml:space="preserve">not available, greenhouse gas emissions data for the most recent available year (2022) </w:t>
      </w:r>
      <w:r w:rsidR="00177144">
        <w:t>were</w:t>
      </w:r>
      <w:r>
        <w:t xml:space="preserve"> adopted as the existing conditions benchmark for assessing the implications of the greenhouse emissions produced by the Project.</w:t>
      </w:r>
    </w:p>
    <w:p w14:paraId="21CECA6C" w14:textId="5663D1B8" w:rsidR="00D10D9C" w:rsidRDefault="00B008C5" w:rsidP="00D261E5">
      <w:pPr>
        <w:pStyle w:val="Heading2"/>
        <w:spacing w:before="240" w:after="180"/>
      </w:pPr>
      <w:bookmarkStart w:id="16" w:name="_Ref181087985"/>
      <w:bookmarkStart w:id="17" w:name="_Toc182582722"/>
      <w:bookmarkStart w:id="18" w:name="_Toc201071039"/>
      <w:r>
        <w:lastRenderedPageBreak/>
        <w:t>Construction impact</w:t>
      </w:r>
      <w:r w:rsidR="009A129C">
        <w:t>s</w:t>
      </w:r>
      <w:bookmarkEnd w:id="16"/>
      <w:bookmarkEnd w:id="17"/>
      <w:bookmarkEnd w:id="18"/>
    </w:p>
    <w:p w14:paraId="654538E9" w14:textId="1CBED884" w:rsidR="00115BF9" w:rsidRDefault="00B008C5" w:rsidP="00781F8A">
      <w:pPr>
        <w:keepNext/>
        <w:keepLines/>
      </w:pPr>
      <w:r w:rsidRPr="5F5F54A2">
        <w:t xml:space="preserve">This section outlines the key </w:t>
      </w:r>
      <w:r w:rsidR="00CF7B2A" w:rsidRPr="5F5F54A2">
        <w:t>issues</w:t>
      </w:r>
      <w:r w:rsidRPr="5F5F54A2">
        <w:t xml:space="preserve"> identified through the risk screening process and associated impacts during the construction of the Project.</w:t>
      </w:r>
      <w:r w:rsidR="00FF622B" w:rsidRPr="5F5F54A2">
        <w:t xml:space="preserve"> </w:t>
      </w:r>
      <w:r w:rsidR="004431BE" w:rsidRPr="5F5F54A2">
        <w:t>The key issues and impacts identified for</w:t>
      </w:r>
      <w:r w:rsidR="003E1E6F" w:rsidRPr="5F5F54A2">
        <w:rPr>
          <w:color w:val="FF0000"/>
        </w:rPr>
        <w:t xml:space="preserve"> </w:t>
      </w:r>
      <w:r w:rsidR="00CC02CD" w:rsidRPr="5F5F54A2">
        <w:t>g</w:t>
      </w:r>
      <w:r w:rsidR="003E1E6F" w:rsidRPr="5F5F54A2">
        <w:t xml:space="preserve">reenhouse gas </w:t>
      </w:r>
      <w:r w:rsidR="0003542E" w:rsidRPr="5F5F54A2">
        <w:t xml:space="preserve">are </w:t>
      </w:r>
      <w:r w:rsidR="004431BE" w:rsidRPr="5F5F54A2">
        <w:t>discussed according to the following theme</w:t>
      </w:r>
      <w:r w:rsidR="0003542E" w:rsidRPr="5F5F54A2">
        <w:t>s</w:t>
      </w:r>
      <w:r w:rsidR="00115BF9" w:rsidRPr="5F5F54A2">
        <w:t>:</w:t>
      </w:r>
    </w:p>
    <w:p w14:paraId="740ED613" w14:textId="1072BCF6" w:rsidR="00115BF9" w:rsidRDefault="00115BF9" w:rsidP="00D261E5">
      <w:pPr>
        <w:pStyle w:val="ListBullet"/>
        <w:keepNext/>
        <w:keepLines/>
        <w:spacing w:after="120" w:line="240" w:lineRule="auto"/>
      </w:pPr>
      <w:r w:rsidRPr="5F5F54A2">
        <w:t>E</w:t>
      </w:r>
      <w:r w:rsidR="002E2C83" w:rsidRPr="5F5F54A2">
        <w:t>nergy related greenhouse gas emissions</w:t>
      </w:r>
      <w:r w:rsidR="007F55FC" w:rsidRPr="5F5F54A2">
        <w:t xml:space="preserve">: </w:t>
      </w:r>
      <w:r w:rsidR="002F2A71" w:rsidRPr="5F5F54A2">
        <w:t>fuel consumption, and emissions associated with transport and the haulage of construction materials, waste and earth</w:t>
      </w:r>
      <w:r w:rsidR="00693058">
        <w:t>.</w:t>
      </w:r>
    </w:p>
    <w:p w14:paraId="2703593E" w14:textId="147591E5" w:rsidR="00B008C5" w:rsidRDefault="00115BF9" w:rsidP="00D261E5">
      <w:pPr>
        <w:pStyle w:val="ListBullet"/>
        <w:keepNext/>
        <w:keepLines/>
        <w:spacing w:line="240" w:lineRule="auto"/>
      </w:pPr>
      <w:r>
        <w:t>N</w:t>
      </w:r>
      <w:r w:rsidR="002E2C83" w:rsidRPr="00A06137">
        <w:t>on</w:t>
      </w:r>
      <w:r w:rsidR="00211772" w:rsidRPr="00A06137">
        <w:t>-energy related greenhouse gas emissions</w:t>
      </w:r>
      <w:r w:rsidR="007F55FC">
        <w:t xml:space="preserve">: </w:t>
      </w:r>
      <w:r w:rsidR="002F2A71">
        <w:t>embedded emissions associated with the materials used in construction, vegetation removal, and waste generation</w:t>
      </w:r>
      <w:r w:rsidR="00211772" w:rsidRPr="00A06137">
        <w:t>.</w:t>
      </w:r>
    </w:p>
    <w:p w14:paraId="57EE6CC2" w14:textId="4373661F" w:rsidR="00FE3C57" w:rsidRPr="00BE4DA3" w:rsidRDefault="00211772" w:rsidP="00D261E5">
      <w:pPr>
        <w:pStyle w:val="Heading3"/>
        <w:spacing w:before="180"/>
      </w:pPr>
      <w:bookmarkStart w:id="19" w:name="_Toc182582723"/>
      <w:bookmarkStart w:id="20" w:name="_Toc201071040"/>
      <w:r>
        <w:t>Energy related</w:t>
      </w:r>
      <w:r w:rsidR="003E1E6F">
        <w:t xml:space="preserve"> </w:t>
      </w:r>
      <w:r>
        <w:t>greenhouse gas</w:t>
      </w:r>
      <w:r w:rsidR="003E1E6F">
        <w:t xml:space="preserve"> emissions</w:t>
      </w:r>
      <w:bookmarkEnd w:id="19"/>
      <w:bookmarkEnd w:id="20"/>
    </w:p>
    <w:p w14:paraId="14642D5D" w14:textId="77777777" w:rsidR="00BB5226" w:rsidRDefault="003115C0" w:rsidP="00D261E5">
      <w:pPr>
        <w:spacing w:after="140"/>
      </w:pPr>
      <w:r>
        <w:t>En</w:t>
      </w:r>
      <w:r w:rsidR="00E931B5">
        <w:t xml:space="preserve">ergy related emissions associated with the construction of the Project </w:t>
      </w:r>
      <w:r w:rsidR="004C1723">
        <w:t xml:space="preserve">include those from the consumption of fuel used on site. </w:t>
      </w:r>
    </w:p>
    <w:p w14:paraId="7E76C6B4" w14:textId="0536B05E" w:rsidR="00027F9B" w:rsidRDefault="00D411EF" w:rsidP="00781F8A">
      <w:r w:rsidRPr="00D411EF">
        <w:t xml:space="preserve">Fuel will be needed during the Project’s construction </w:t>
      </w:r>
      <w:r w:rsidR="00172235">
        <w:t>for</w:t>
      </w:r>
      <w:r w:rsidRPr="00D411EF">
        <w:t xml:space="preserve"> construction plant and equipment, on-site light vehicles, and generators at construction sites, laydown areas, and workforce accommodation facilities. </w:t>
      </w:r>
      <w:r w:rsidR="00882CC6" w:rsidRPr="007536C1">
        <w:t>Combustion of</w:t>
      </w:r>
      <w:r w:rsidRPr="00D411EF">
        <w:t xml:space="preserve"> fuel </w:t>
      </w:r>
      <w:r w:rsidR="007167E0" w:rsidRPr="007536C1">
        <w:t>in vehicles, plant and equipment</w:t>
      </w:r>
      <w:r w:rsidRPr="00D411EF">
        <w:t xml:space="preserve"> will result in greenhouse gas emissions.</w:t>
      </w:r>
      <w:r w:rsidR="00E674C5">
        <w:t xml:space="preserve"> </w:t>
      </w:r>
    </w:p>
    <w:p w14:paraId="44059F37" w14:textId="1E18C9F6" w:rsidR="00FE3C57" w:rsidRDefault="006D5FE7" w:rsidP="00781F8A">
      <w:r w:rsidRPr="5F5F54A2">
        <w:t xml:space="preserve">In addition to </w:t>
      </w:r>
      <w:r w:rsidR="004F7CFD" w:rsidRPr="5F5F54A2">
        <w:t xml:space="preserve">on-site vehicle usage, </w:t>
      </w:r>
      <w:r w:rsidR="003E1629" w:rsidRPr="5F5F54A2">
        <w:t xml:space="preserve">vehicles will be required to transport </w:t>
      </w:r>
      <w:r w:rsidR="004D2054" w:rsidRPr="5F5F54A2">
        <w:t xml:space="preserve">workforce personnel </w:t>
      </w:r>
      <w:r w:rsidR="00017857" w:rsidRPr="5F5F54A2">
        <w:t>from the accommodation facilities to the construction sites, generating</w:t>
      </w:r>
      <w:r w:rsidR="00D411EF" w:rsidRPr="5F5F54A2">
        <w:t xml:space="preserve"> additional</w:t>
      </w:r>
      <w:r w:rsidR="00017857" w:rsidRPr="5F5F54A2">
        <w:t xml:space="preserve"> emissions from fuel usage.</w:t>
      </w:r>
      <w:r w:rsidR="00B135FE" w:rsidRPr="5F5F54A2">
        <w:t xml:space="preserve"> </w:t>
      </w:r>
    </w:p>
    <w:p w14:paraId="28C8AE57" w14:textId="5FA30BC1" w:rsidR="00116AB9" w:rsidRPr="008F2BCC" w:rsidRDefault="00116AB9" w:rsidP="00781F8A">
      <w:r>
        <w:t xml:space="preserve">Section </w:t>
      </w:r>
      <w:r w:rsidR="00EA17CF">
        <w:fldChar w:fldCharType="begin"/>
      </w:r>
      <w:r w:rsidR="00EA17CF">
        <w:instrText xml:space="preserve"> REF _Ref183527203 \r \h </w:instrText>
      </w:r>
      <w:r w:rsidR="00781F8A">
        <w:instrText xml:space="preserve"> \* MERGEFORMAT </w:instrText>
      </w:r>
      <w:r w:rsidR="00EA17CF">
        <w:fldChar w:fldCharType="separate"/>
      </w:r>
      <w:r w:rsidR="00880487">
        <w:t>26.4.3</w:t>
      </w:r>
      <w:r w:rsidR="00EA17CF">
        <w:fldChar w:fldCharType="end"/>
      </w:r>
      <w:r w:rsidR="00481545">
        <w:t xml:space="preserve"> </w:t>
      </w:r>
      <w:r>
        <w:t>describes the overall greenhouse</w:t>
      </w:r>
      <w:r w:rsidR="00D738F4">
        <w:t xml:space="preserve"> gas emission</w:t>
      </w:r>
      <w:r w:rsidR="004D2054">
        <w:t>s</w:t>
      </w:r>
      <w:r w:rsidR="00D738F4">
        <w:t xml:space="preserve"> for </w:t>
      </w:r>
      <w:r w:rsidR="00200A5D">
        <w:t xml:space="preserve">Project construction. </w:t>
      </w:r>
      <w:r w:rsidR="00200A5D" w:rsidRPr="00936C0C">
        <w:t xml:space="preserve">As shown in </w:t>
      </w:r>
      <w:r w:rsidR="00D5469D">
        <w:fldChar w:fldCharType="begin"/>
      </w:r>
      <w:r w:rsidR="00D5469D">
        <w:instrText xml:space="preserve"> REF _Ref183527356 \h </w:instrText>
      </w:r>
      <w:r w:rsidR="00781F8A">
        <w:instrText xml:space="preserve"> \* MERGEFORMAT </w:instrText>
      </w:r>
      <w:r w:rsidR="00D5469D">
        <w:fldChar w:fldCharType="separate"/>
      </w:r>
      <w:r w:rsidR="0029478F">
        <w:t>Figure 26.</w:t>
      </w:r>
      <w:r w:rsidR="0029478F">
        <w:rPr>
          <w:noProof/>
        </w:rPr>
        <w:t>2</w:t>
      </w:r>
      <w:r w:rsidR="00D5469D">
        <w:fldChar w:fldCharType="end"/>
      </w:r>
      <w:r w:rsidR="00D5469D">
        <w:t xml:space="preserve"> </w:t>
      </w:r>
      <w:r w:rsidR="005E5DE4">
        <w:rPr>
          <w:lang w:val="en-GB"/>
        </w:rPr>
        <w:t xml:space="preserve">fuel consumption from </w:t>
      </w:r>
      <w:r w:rsidR="001004EA">
        <w:rPr>
          <w:lang w:val="en-GB"/>
        </w:rPr>
        <w:t xml:space="preserve">construction </w:t>
      </w:r>
      <w:r w:rsidR="005E5DE4">
        <w:rPr>
          <w:lang w:val="en-GB"/>
        </w:rPr>
        <w:t xml:space="preserve">plant </w:t>
      </w:r>
      <w:r w:rsidR="001004EA">
        <w:rPr>
          <w:lang w:val="en-GB"/>
        </w:rPr>
        <w:t xml:space="preserve">and </w:t>
      </w:r>
      <w:r w:rsidR="005E5DE4">
        <w:rPr>
          <w:lang w:val="en-GB"/>
        </w:rPr>
        <w:t xml:space="preserve">equipment </w:t>
      </w:r>
      <w:r w:rsidR="004D2054">
        <w:rPr>
          <w:lang w:val="en-GB"/>
        </w:rPr>
        <w:t xml:space="preserve">will </w:t>
      </w:r>
      <w:r w:rsidR="005E7D1F">
        <w:rPr>
          <w:lang w:val="en-GB"/>
        </w:rPr>
        <w:t xml:space="preserve">account for </w:t>
      </w:r>
      <w:r w:rsidR="005E5DE4">
        <w:rPr>
          <w:szCs w:val="18"/>
        </w:rPr>
        <w:t>approximately 15</w:t>
      </w:r>
      <w:r w:rsidR="00B135FE">
        <w:rPr>
          <w:szCs w:val="18"/>
        </w:rPr>
        <w:t xml:space="preserve"> per cent</w:t>
      </w:r>
      <w:r w:rsidR="005E5DE4">
        <w:rPr>
          <w:szCs w:val="18"/>
        </w:rPr>
        <w:t xml:space="preserve"> of total </w:t>
      </w:r>
      <w:r w:rsidR="003100F8">
        <w:rPr>
          <w:szCs w:val="18"/>
        </w:rPr>
        <w:t xml:space="preserve">Project construction </w:t>
      </w:r>
      <w:r w:rsidR="005E5DE4">
        <w:rPr>
          <w:szCs w:val="18"/>
        </w:rPr>
        <w:t>emissions</w:t>
      </w:r>
      <w:r w:rsidR="00EE5DA3">
        <w:rPr>
          <w:szCs w:val="18"/>
        </w:rPr>
        <w:t>. T</w:t>
      </w:r>
      <w:r w:rsidR="007745A0">
        <w:rPr>
          <w:szCs w:val="18"/>
        </w:rPr>
        <w:t xml:space="preserve">ogether </w:t>
      </w:r>
      <w:r w:rsidR="004D2054">
        <w:rPr>
          <w:szCs w:val="18"/>
        </w:rPr>
        <w:t xml:space="preserve">workforce personnel </w:t>
      </w:r>
      <w:r w:rsidR="005E5DE4">
        <w:rPr>
          <w:szCs w:val="18"/>
        </w:rPr>
        <w:t xml:space="preserve">movements </w:t>
      </w:r>
      <w:r w:rsidR="007745A0">
        <w:rPr>
          <w:szCs w:val="18"/>
        </w:rPr>
        <w:t xml:space="preserve">and haulage of materials </w:t>
      </w:r>
      <w:r w:rsidR="005E5DE4">
        <w:rPr>
          <w:szCs w:val="18"/>
        </w:rPr>
        <w:t xml:space="preserve">are predicted to generate approximately </w:t>
      </w:r>
      <w:r w:rsidR="007745A0">
        <w:rPr>
          <w:szCs w:val="18"/>
        </w:rPr>
        <w:t>2</w:t>
      </w:r>
      <w:r w:rsidR="00B135FE">
        <w:rPr>
          <w:szCs w:val="18"/>
        </w:rPr>
        <w:t xml:space="preserve"> per cent</w:t>
      </w:r>
      <w:r w:rsidR="00B135FE" w:rsidDel="00B135FE">
        <w:rPr>
          <w:szCs w:val="18"/>
        </w:rPr>
        <w:t xml:space="preserve"> </w:t>
      </w:r>
      <w:r w:rsidR="005E5DE4">
        <w:rPr>
          <w:szCs w:val="18"/>
        </w:rPr>
        <w:t>of total emissions</w:t>
      </w:r>
      <w:r w:rsidR="004E5814">
        <w:rPr>
          <w:szCs w:val="18"/>
        </w:rPr>
        <w:t xml:space="preserve">. </w:t>
      </w:r>
    </w:p>
    <w:p w14:paraId="30C1CF1D" w14:textId="39C05C8A" w:rsidR="0040362F" w:rsidRPr="00A06137" w:rsidRDefault="0040362F" w:rsidP="00781F8A">
      <w:pPr>
        <w:rPr>
          <w:lang w:val="en-GB"/>
        </w:rPr>
      </w:pPr>
      <w:r w:rsidRPr="0040362F">
        <w:rPr>
          <w:szCs w:val="20"/>
          <w:lang w:val="en-US"/>
        </w:rPr>
        <w:t>AusNet will</w:t>
      </w:r>
      <w:r w:rsidR="00D500CE">
        <w:rPr>
          <w:szCs w:val="20"/>
          <w:lang w:val="en-US"/>
        </w:rPr>
        <w:t xml:space="preserve"> continue to</w:t>
      </w:r>
      <w:r w:rsidRPr="0040362F">
        <w:rPr>
          <w:szCs w:val="20"/>
          <w:lang w:val="en-US"/>
        </w:rPr>
        <w:t xml:space="preserve"> integrate sustainable design practices into the Project’s design process to </w:t>
      </w:r>
      <w:r w:rsidRPr="00DF3155">
        <w:rPr>
          <w:szCs w:val="20"/>
        </w:rPr>
        <w:t>minimise</w:t>
      </w:r>
      <w:r w:rsidRPr="0040362F">
        <w:rPr>
          <w:szCs w:val="20"/>
          <w:lang w:val="en-US"/>
        </w:rPr>
        <w:t xml:space="preserve">, to the extent practicable, greenhouse gas emissions arising from the construction of the </w:t>
      </w:r>
      <w:r w:rsidR="003974E4">
        <w:rPr>
          <w:szCs w:val="20"/>
          <w:lang w:val="en-US"/>
        </w:rPr>
        <w:t>Project (</w:t>
      </w:r>
      <w:r w:rsidRPr="0040362F">
        <w:rPr>
          <w:szCs w:val="20"/>
          <w:lang w:val="en-US"/>
        </w:rPr>
        <w:t xml:space="preserve">EPR SG2). </w:t>
      </w:r>
      <w:r w:rsidR="00E2269E">
        <w:rPr>
          <w:szCs w:val="20"/>
          <w:lang w:val="en-US"/>
        </w:rPr>
        <w:t>For energy related greenhouse gas emissions, this could include a</w:t>
      </w:r>
      <w:r w:rsidR="002D037B">
        <w:rPr>
          <w:szCs w:val="20"/>
          <w:lang w:val="en-US"/>
        </w:rPr>
        <w:t>dopt</w:t>
      </w:r>
      <w:r w:rsidR="00E2269E">
        <w:rPr>
          <w:szCs w:val="20"/>
          <w:lang w:val="en-US"/>
        </w:rPr>
        <w:t>ing</w:t>
      </w:r>
      <w:r w:rsidR="002D037B">
        <w:rPr>
          <w:szCs w:val="20"/>
          <w:lang w:val="en-US"/>
        </w:rPr>
        <w:t xml:space="preserve"> construction procedures to </w:t>
      </w:r>
      <w:r w:rsidR="002D037B" w:rsidRPr="00DF3155">
        <w:rPr>
          <w:szCs w:val="20"/>
        </w:rPr>
        <w:t>minimise</w:t>
      </w:r>
      <w:r w:rsidR="002D037B">
        <w:rPr>
          <w:szCs w:val="20"/>
          <w:lang w:val="en-US"/>
        </w:rPr>
        <w:t xml:space="preserve"> fuel combustion where possible</w:t>
      </w:r>
      <w:r w:rsidR="00542D27">
        <w:rPr>
          <w:szCs w:val="20"/>
          <w:lang w:val="en-US"/>
        </w:rPr>
        <w:t>, through</w:t>
      </w:r>
      <w:r w:rsidR="002D037B">
        <w:rPr>
          <w:szCs w:val="20"/>
          <w:lang w:val="en-US"/>
        </w:rPr>
        <w:t xml:space="preserve"> shutting off equipment when not in use and adopting more fuel-efficient equipment</w:t>
      </w:r>
      <w:r w:rsidR="00147837">
        <w:rPr>
          <w:szCs w:val="20"/>
          <w:lang w:val="en-US"/>
        </w:rPr>
        <w:t xml:space="preserve"> and </w:t>
      </w:r>
      <w:r w:rsidR="003530B8">
        <w:rPr>
          <w:szCs w:val="20"/>
          <w:lang w:val="en-US"/>
        </w:rPr>
        <w:t>methods</w:t>
      </w:r>
      <w:r w:rsidR="00FA64A4">
        <w:rPr>
          <w:szCs w:val="20"/>
          <w:lang w:val="en-US"/>
        </w:rPr>
        <w:t>.</w:t>
      </w:r>
      <w:r w:rsidR="00FA64A4">
        <w:rPr>
          <w:lang w:val="en-GB"/>
        </w:rPr>
        <w:t xml:space="preserve"> </w:t>
      </w:r>
    </w:p>
    <w:p w14:paraId="130C1BA6" w14:textId="0C3C722A" w:rsidR="00864093" w:rsidRPr="009D4716" w:rsidRDefault="00542D27" w:rsidP="00D261E5">
      <w:pPr>
        <w:pStyle w:val="Heading3"/>
        <w:spacing w:before="180"/>
      </w:pPr>
      <w:bookmarkStart w:id="21" w:name="_Toc182582724"/>
      <w:bookmarkStart w:id="22" w:name="_Toc201071041"/>
      <w:r>
        <w:t>Non-energy related greenhouse gas emissions</w:t>
      </w:r>
      <w:bookmarkEnd w:id="21"/>
      <w:bookmarkEnd w:id="22"/>
    </w:p>
    <w:p w14:paraId="4A92529A" w14:textId="77777777" w:rsidR="00873DCE" w:rsidRDefault="00873DCE" w:rsidP="00781F8A">
      <w:r w:rsidRPr="00873DCE">
        <w:t xml:space="preserve">Non-energy related emissions associated with the construction of the Project include embedded emissions in construction materials, clearing of vegetation and the transport of waste and materials. </w:t>
      </w:r>
    </w:p>
    <w:p w14:paraId="5086E5DF" w14:textId="1DC38B3E" w:rsidR="00A15298" w:rsidRDefault="00287222" w:rsidP="00781F8A">
      <w:r>
        <w:t>Embedded emissions refer to the CO</w:t>
      </w:r>
      <w:r w:rsidRPr="00722F49">
        <w:rPr>
          <w:vertAlign w:val="subscript"/>
        </w:rPr>
        <w:t>2</w:t>
      </w:r>
      <w:r>
        <w:t xml:space="preserve">e emissions associated with the production of the materials </w:t>
      </w:r>
      <w:r w:rsidR="0072044E">
        <w:t xml:space="preserve">such as cement and steel (used for constructing the transmission towers and terminal station) </w:t>
      </w:r>
      <w:r>
        <w:t>used in the construction of the Project</w:t>
      </w:r>
      <w:r w:rsidR="00FB0DE9">
        <w:t xml:space="preserve">. </w:t>
      </w:r>
      <w:r w:rsidR="00A15298">
        <w:rPr>
          <w:lang w:val="en-GB"/>
        </w:rPr>
        <w:t xml:space="preserve">As shown in </w:t>
      </w:r>
      <w:r w:rsidR="001E2268">
        <w:rPr>
          <w:lang w:val="en-GB"/>
        </w:rPr>
        <w:fldChar w:fldCharType="begin"/>
      </w:r>
      <w:r w:rsidR="001E2268">
        <w:rPr>
          <w:lang w:val="en-GB"/>
        </w:rPr>
        <w:instrText xml:space="preserve"> REF _Ref183527356 \h </w:instrText>
      </w:r>
      <w:r w:rsidR="00781F8A">
        <w:rPr>
          <w:lang w:val="en-GB"/>
        </w:rPr>
        <w:instrText xml:space="preserve"> \* MERGEFORMAT </w:instrText>
      </w:r>
      <w:r w:rsidR="001E2268">
        <w:rPr>
          <w:lang w:val="en-GB"/>
        </w:rPr>
      </w:r>
      <w:r w:rsidR="001E2268">
        <w:rPr>
          <w:lang w:val="en-GB"/>
        </w:rPr>
        <w:fldChar w:fldCharType="separate"/>
      </w:r>
      <w:r w:rsidR="0029478F">
        <w:t>Figure 26.</w:t>
      </w:r>
      <w:r w:rsidR="0029478F">
        <w:rPr>
          <w:noProof/>
        </w:rPr>
        <w:t>2</w:t>
      </w:r>
      <w:r w:rsidR="001E2268">
        <w:rPr>
          <w:lang w:val="en-GB"/>
        </w:rPr>
        <w:fldChar w:fldCharType="end"/>
      </w:r>
      <w:r w:rsidR="00A15298">
        <w:rPr>
          <w:lang w:val="en-GB"/>
        </w:rPr>
        <w:t>, e</w:t>
      </w:r>
      <w:r w:rsidR="00A15298" w:rsidRPr="08955214">
        <w:rPr>
          <w:lang w:val="en-GB"/>
        </w:rPr>
        <w:t>mbedded emissions account</w:t>
      </w:r>
      <w:r w:rsidR="002A4464">
        <w:rPr>
          <w:lang w:val="en-GB"/>
        </w:rPr>
        <w:t xml:space="preserve"> for</w:t>
      </w:r>
      <w:r w:rsidR="00A15298" w:rsidRPr="08955214">
        <w:rPr>
          <w:lang w:val="en-GB"/>
        </w:rPr>
        <w:t xml:space="preserve"> </w:t>
      </w:r>
      <w:r w:rsidR="00A15298">
        <w:rPr>
          <w:lang w:val="en-GB"/>
        </w:rPr>
        <w:t xml:space="preserve">the majority of </w:t>
      </w:r>
      <w:r w:rsidR="00A15298" w:rsidRPr="08955214">
        <w:rPr>
          <w:lang w:val="en-GB"/>
        </w:rPr>
        <w:t>the Project’s overall construction emissions</w:t>
      </w:r>
      <w:r w:rsidR="00A15298">
        <w:rPr>
          <w:lang w:val="en-GB"/>
        </w:rPr>
        <w:t>, approximately 7</w:t>
      </w:r>
      <w:r w:rsidR="00E5400A">
        <w:rPr>
          <w:lang w:val="en-GB"/>
        </w:rPr>
        <w:t>2</w:t>
      </w:r>
      <w:r w:rsidR="00B135FE">
        <w:rPr>
          <w:szCs w:val="18"/>
        </w:rPr>
        <w:t xml:space="preserve"> per cent</w:t>
      </w:r>
      <w:r w:rsidR="00ED324A">
        <w:t>.</w:t>
      </w:r>
      <w:r w:rsidRPr="004C7FD2">
        <w:t xml:space="preserve"> </w:t>
      </w:r>
    </w:p>
    <w:p w14:paraId="450B9683" w14:textId="6979D72E" w:rsidR="00A15298" w:rsidDel="00C922AF" w:rsidRDefault="00A15298" w:rsidP="00781F8A">
      <w:r>
        <w:t>V</w:t>
      </w:r>
      <w:r w:rsidDel="00C922AF">
        <w:t>egetation</w:t>
      </w:r>
      <w:r>
        <w:t xml:space="preserve"> </w:t>
      </w:r>
      <w:r w:rsidR="00286A6F">
        <w:t>clearing</w:t>
      </w:r>
      <w:r w:rsidR="00286A6F" w:rsidDel="00C922AF">
        <w:t xml:space="preserve"> </w:t>
      </w:r>
      <w:r w:rsidDel="00C922AF">
        <w:t xml:space="preserve">will </w:t>
      </w:r>
      <w:r w:rsidR="0072044E">
        <w:t xml:space="preserve">also </w:t>
      </w:r>
      <w:r w:rsidDel="00C922AF">
        <w:t xml:space="preserve">result in the loss of carbon sink </w:t>
      </w:r>
      <w:r w:rsidR="003530B8">
        <w:t xml:space="preserve">that if </w:t>
      </w:r>
      <w:r w:rsidR="001705A1">
        <w:t xml:space="preserve">left </w:t>
      </w:r>
      <w:r w:rsidR="003530B8">
        <w:t>present</w:t>
      </w:r>
      <w:r w:rsidR="001705A1">
        <w:t>,</w:t>
      </w:r>
      <w:r w:rsidR="003530B8">
        <w:t xml:space="preserve"> would capture</w:t>
      </w:r>
      <w:r w:rsidDel="00C922AF">
        <w:t xml:space="preserve"> emissions. </w:t>
      </w:r>
      <w:r>
        <w:rPr>
          <w:lang w:val="en-GB"/>
        </w:rPr>
        <w:t xml:space="preserve">Vegetation </w:t>
      </w:r>
      <w:r w:rsidR="00C52E22">
        <w:rPr>
          <w:lang w:val="en-GB"/>
        </w:rPr>
        <w:t xml:space="preserve">clearing </w:t>
      </w:r>
      <w:r w:rsidR="001705A1">
        <w:rPr>
          <w:lang w:val="en-GB"/>
        </w:rPr>
        <w:t xml:space="preserve">carbon sink losses </w:t>
      </w:r>
      <w:r>
        <w:rPr>
          <w:lang w:val="en-GB"/>
        </w:rPr>
        <w:t xml:space="preserve">account for approximately </w:t>
      </w:r>
      <w:r w:rsidR="00E5400A">
        <w:rPr>
          <w:lang w:val="en-GB"/>
        </w:rPr>
        <w:t>11</w:t>
      </w:r>
      <w:r w:rsidR="00B135FE">
        <w:rPr>
          <w:szCs w:val="18"/>
        </w:rPr>
        <w:t xml:space="preserve"> per cent</w:t>
      </w:r>
      <w:r>
        <w:rPr>
          <w:lang w:val="en-GB"/>
        </w:rPr>
        <w:t xml:space="preserve"> of overall construction emissions</w:t>
      </w:r>
      <w:r w:rsidRPr="08955214">
        <w:rPr>
          <w:lang w:val="en-GB"/>
        </w:rPr>
        <w:t>.</w:t>
      </w:r>
    </w:p>
    <w:p w14:paraId="2DA297E8" w14:textId="72C79A42" w:rsidR="00F4110F" w:rsidRDefault="00331C59" w:rsidP="00781F8A">
      <w:pPr>
        <w:rPr>
          <w:lang w:val="en-GB"/>
        </w:rPr>
      </w:pPr>
      <w:r>
        <w:t xml:space="preserve">Project construction will </w:t>
      </w:r>
      <w:r w:rsidR="00CC06AA">
        <w:t>generate</w:t>
      </w:r>
      <w:r w:rsidR="00A15298">
        <w:t xml:space="preserve"> waste</w:t>
      </w:r>
      <w:r w:rsidR="00CC06AA">
        <w:t xml:space="preserve"> which will </w:t>
      </w:r>
      <w:r w:rsidR="00A15298">
        <w:t>degrade at landfill and</w:t>
      </w:r>
      <w:r w:rsidR="00CC06AA">
        <w:t xml:space="preserve"> generate</w:t>
      </w:r>
      <w:r w:rsidR="004F6053">
        <w:t xml:space="preserve"> greenhouse gas emissions in the form of methane gas, </w:t>
      </w:r>
      <w:r w:rsidR="008E4598">
        <w:t>contributing</w:t>
      </w:r>
      <w:r w:rsidR="004F6053">
        <w:t xml:space="preserve"> to the Project emission</w:t>
      </w:r>
      <w:r w:rsidR="008E4598">
        <w:t xml:space="preserve">s during construction. </w:t>
      </w:r>
      <w:r w:rsidR="00F63077">
        <w:t>When considering the Project</w:t>
      </w:r>
      <w:r w:rsidR="00D22B32">
        <w:t xml:space="preserve">’s total construction emissions, the amount </w:t>
      </w:r>
      <w:r w:rsidR="00EA72EE">
        <w:t xml:space="preserve">generated from landfilled waste is relatively </w:t>
      </w:r>
      <w:r w:rsidR="00D5469D">
        <w:t>low</w:t>
      </w:r>
      <w:r w:rsidR="00EA72EE">
        <w:t xml:space="preserve">, </w:t>
      </w:r>
      <w:r w:rsidR="0040271A">
        <w:t>accounting for 0.09</w:t>
      </w:r>
      <w:r w:rsidR="00B135FE">
        <w:rPr>
          <w:szCs w:val="18"/>
        </w:rPr>
        <w:t xml:space="preserve"> per cent</w:t>
      </w:r>
      <w:r w:rsidR="0040271A">
        <w:t xml:space="preserve"> of the total emissions (</w:t>
      </w:r>
      <w:r w:rsidR="00D22B32">
        <w:t xml:space="preserve">which </w:t>
      </w:r>
      <w:r w:rsidR="0040271A">
        <w:t>round</w:t>
      </w:r>
      <w:r w:rsidR="00D22B32">
        <w:t>s</w:t>
      </w:r>
      <w:r w:rsidR="0040271A">
        <w:t xml:space="preserve"> to 0</w:t>
      </w:r>
      <w:r w:rsidR="00B135FE">
        <w:rPr>
          <w:szCs w:val="18"/>
        </w:rPr>
        <w:t xml:space="preserve"> per cent</w:t>
      </w:r>
      <w:r w:rsidR="0040271A">
        <w:t xml:space="preserve"> in </w:t>
      </w:r>
      <w:r w:rsidR="00D22B32">
        <w:fldChar w:fldCharType="begin"/>
      </w:r>
      <w:r w:rsidR="00D22B32">
        <w:instrText xml:space="preserve"> REF _Ref183527356 \h </w:instrText>
      </w:r>
      <w:r w:rsidR="00781F8A">
        <w:instrText xml:space="preserve"> \* MERGEFORMAT </w:instrText>
      </w:r>
      <w:r w:rsidR="00D22B32">
        <w:fldChar w:fldCharType="separate"/>
      </w:r>
      <w:r w:rsidR="0029478F">
        <w:t>Figure</w:t>
      </w:r>
      <w:r w:rsidR="00D261E5">
        <w:t> </w:t>
      </w:r>
      <w:r w:rsidR="0029478F">
        <w:t>26.</w:t>
      </w:r>
      <w:r w:rsidR="0029478F">
        <w:rPr>
          <w:noProof/>
        </w:rPr>
        <w:t>2</w:t>
      </w:r>
      <w:r w:rsidR="00D22B32">
        <w:fldChar w:fldCharType="end"/>
      </w:r>
      <w:r w:rsidR="0040271A">
        <w:t xml:space="preserve">). </w:t>
      </w:r>
    </w:p>
    <w:p w14:paraId="12EA602F" w14:textId="52CF3B49" w:rsidR="00273843" w:rsidRPr="00781F8A" w:rsidRDefault="00525EF3" w:rsidP="00D261E5">
      <w:pPr>
        <w:spacing w:after="240"/>
      </w:pPr>
      <w:r>
        <w:rPr>
          <w:lang w:val="en-US"/>
        </w:rPr>
        <w:t>AusNet will</w:t>
      </w:r>
      <w:r w:rsidR="00D500CE">
        <w:rPr>
          <w:lang w:val="en-US"/>
        </w:rPr>
        <w:t xml:space="preserve"> continue to</w:t>
      </w:r>
      <w:r>
        <w:rPr>
          <w:lang w:val="en-US"/>
        </w:rPr>
        <w:t xml:space="preserve"> integrate s</w:t>
      </w:r>
      <w:r w:rsidR="00600598" w:rsidRPr="00600598">
        <w:rPr>
          <w:lang w:val="en-US"/>
        </w:rPr>
        <w:t xml:space="preserve">ustainable design practices into the </w:t>
      </w:r>
      <w:r>
        <w:rPr>
          <w:lang w:val="en-US"/>
        </w:rPr>
        <w:t xml:space="preserve">Project’s </w:t>
      </w:r>
      <w:r w:rsidR="00600598" w:rsidRPr="00600598">
        <w:rPr>
          <w:lang w:val="en-US"/>
        </w:rPr>
        <w:t xml:space="preserve">design process to minimise, to the extent practicable, greenhouse gas emissions arising from construction (EPR SG2). </w:t>
      </w:r>
      <w:r w:rsidR="00337222">
        <w:rPr>
          <w:lang w:val="en-US"/>
        </w:rPr>
        <w:t xml:space="preserve">The Principal Contractor will select </w:t>
      </w:r>
      <w:r w:rsidR="002A0C33">
        <w:rPr>
          <w:lang w:val="en-US"/>
        </w:rPr>
        <w:t xml:space="preserve">construction </w:t>
      </w:r>
      <w:r w:rsidR="00337222">
        <w:rPr>
          <w:lang w:val="en-US"/>
        </w:rPr>
        <w:t>materials</w:t>
      </w:r>
      <w:r w:rsidR="000627A7">
        <w:rPr>
          <w:lang w:val="en-US"/>
        </w:rPr>
        <w:t xml:space="preserve"> with low </w:t>
      </w:r>
      <w:r w:rsidR="00333B2F">
        <w:rPr>
          <w:lang w:val="en-US"/>
        </w:rPr>
        <w:t>associated</w:t>
      </w:r>
      <w:r w:rsidR="000627A7">
        <w:rPr>
          <w:lang w:val="en-US"/>
        </w:rPr>
        <w:t xml:space="preserve"> emissions, where possible,</w:t>
      </w:r>
      <w:r w:rsidR="00337222">
        <w:rPr>
          <w:lang w:val="en-US"/>
        </w:rPr>
        <w:t xml:space="preserve"> and to </w:t>
      </w:r>
      <w:r w:rsidR="00337222" w:rsidRPr="00600598">
        <w:rPr>
          <w:lang w:val="en-US"/>
        </w:rPr>
        <w:t>monitor</w:t>
      </w:r>
      <w:r w:rsidR="00337222">
        <w:rPr>
          <w:lang w:val="en-US"/>
        </w:rPr>
        <w:t xml:space="preserve"> </w:t>
      </w:r>
      <w:r w:rsidR="00337222" w:rsidRPr="00600598">
        <w:rPr>
          <w:lang w:val="en-US"/>
        </w:rPr>
        <w:t xml:space="preserve">energy and carbon consumption during construction. </w:t>
      </w:r>
      <w:r w:rsidR="007B13EA">
        <w:rPr>
          <w:szCs w:val="20"/>
          <w:lang w:val="en-US"/>
        </w:rPr>
        <w:t>D</w:t>
      </w:r>
      <w:r w:rsidR="007B13EA" w:rsidRPr="00D90433">
        <w:rPr>
          <w:szCs w:val="20"/>
          <w:lang w:val="en-US"/>
        </w:rPr>
        <w:t xml:space="preserve">etailed modelling </w:t>
      </w:r>
      <w:r w:rsidR="007B13EA">
        <w:rPr>
          <w:szCs w:val="20"/>
          <w:lang w:val="en-US"/>
        </w:rPr>
        <w:t>will</w:t>
      </w:r>
      <w:r w:rsidR="007B13EA" w:rsidRPr="00D90433">
        <w:rPr>
          <w:szCs w:val="20"/>
          <w:lang w:val="en-US"/>
        </w:rPr>
        <w:t xml:space="preserve"> </w:t>
      </w:r>
      <w:r w:rsidR="000627A7">
        <w:rPr>
          <w:szCs w:val="20"/>
          <w:lang w:val="en-US"/>
        </w:rPr>
        <w:t>provide</w:t>
      </w:r>
      <w:r w:rsidR="007B13EA" w:rsidRPr="00D90433">
        <w:rPr>
          <w:szCs w:val="20"/>
          <w:lang w:val="en-US"/>
        </w:rPr>
        <w:t xml:space="preserve"> </w:t>
      </w:r>
      <w:r w:rsidR="000627A7">
        <w:rPr>
          <w:szCs w:val="20"/>
          <w:lang w:val="en-US"/>
        </w:rPr>
        <w:t xml:space="preserve">that </w:t>
      </w:r>
      <w:r w:rsidR="007B13EA" w:rsidRPr="00D90433">
        <w:rPr>
          <w:szCs w:val="20"/>
          <w:lang w:val="en-US"/>
        </w:rPr>
        <w:t xml:space="preserve">cut and fill balances are managed to </w:t>
      </w:r>
      <w:r w:rsidR="007B13EA" w:rsidRPr="003F6219">
        <w:rPr>
          <w:szCs w:val="20"/>
        </w:rPr>
        <w:t>minimise</w:t>
      </w:r>
      <w:r w:rsidR="007B13EA" w:rsidRPr="00D90433">
        <w:rPr>
          <w:szCs w:val="20"/>
          <w:lang w:val="en-US"/>
        </w:rPr>
        <w:t xml:space="preserve"> unnecessary </w:t>
      </w:r>
      <w:r w:rsidR="000627A7">
        <w:rPr>
          <w:szCs w:val="20"/>
          <w:lang w:val="en-US"/>
        </w:rPr>
        <w:t>haulage</w:t>
      </w:r>
      <w:r w:rsidR="000627A7" w:rsidRPr="00D90433">
        <w:rPr>
          <w:szCs w:val="20"/>
          <w:lang w:val="en-US"/>
        </w:rPr>
        <w:t xml:space="preserve"> </w:t>
      </w:r>
      <w:r w:rsidR="007B13EA" w:rsidRPr="00D90433">
        <w:rPr>
          <w:szCs w:val="20"/>
          <w:lang w:val="en-US"/>
        </w:rPr>
        <w:t>of material</w:t>
      </w:r>
      <w:r w:rsidR="000627A7">
        <w:rPr>
          <w:szCs w:val="20"/>
          <w:lang w:val="en-US"/>
        </w:rPr>
        <w:t>, waste and earth</w:t>
      </w:r>
      <w:r w:rsidR="007B13EA">
        <w:rPr>
          <w:szCs w:val="20"/>
          <w:lang w:val="en-US"/>
        </w:rPr>
        <w:t>.</w:t>
      </w:r>
      <w:r w:rsidR="00337222">
        <w:rPr>
          <w:szCs w:val="20"/>
          <w:lang w:val="en-US"/>
        </w:rPr>
        <w:t xml:space="preserve"> </w:t>
      </w:r>
      <w:r w:rsidR="00337222" w:rsidRPr="00600598">
        <w:rPr>
          <w:szCs w:val="20"/>
          <w:lang w:val="en-US"/>
        </w:rPr>
        <w:t>The implementation of the</w:t>
      </w:r>
      <w:r w:rsidR="00337222">
        <w:rPr>
          <w:szCs w:val="20"/>
          <w:lang w:val="en-US"/>
        </w:rPr>
        <w:t xml:space="preserve"> </w:t>
      </w:r>
      <w:r w:rsidR="00337222" w:rsidRPr="00600598">
        <w:rPr>
          <w:szCs w:val="20"/>
          <w:lang w:val="en-US"/>
        </w:rPr>
        <w:t xml:space="preserve">EPRs </w:t>
      </w:r>
      <w:r w:rsidR="00DE2416">
        <w:rPr>
          <w:szCs w:val="20"/>
          <w:lang w:val="en-US"/>
        </w:rPr>
        <w:t>will</w:t>
      </w:r>
      <w:r w:rsidR="00337222" w:rsidRPr="00600598">
        <w:rPr>
          <w:szCs w:val="20"/>
          <w:lang w:val="en-US"/>
        </w:rPr>
        <w:t xml:space="preserve"> reduce greenhouse gas emissions, indicatively by 30</w:t>
      </w:r>
      <w:r w:rsidR="00B135FE">
        <w:rPr>
          <w:szCs w:val="18"/>
        </w:rPr>
        <w:t xml:space="preserve"> per cent</w:t>
      </w:r>
      <w:r w:rsidR="00034E1B">
        <w:rPr>
          <w:szCs w:val="20"/>
          <w:lang w:val="en-US"/>
        </w:rPr>
        <w:t>,</w:t>
      </w:r>
      <w:r w:rsidR="00337222" w:rsidRPr="00600598">
        <w:rPr>
          <w:szCs w:val="20"/>
          <w:lang w:val="en-US"/>
        </w:rPr>
        <w:t xml:space="preserve"> based on leading practice reductions in construction greenhouse emissions, as defined by the Infrastructure Sustainability Council.</w:t>
      </w:r>
    </w:p>
    <w:p w14:paraId="6BBDB422" w14:textId="197062B3" w:rsidR="002910F8" w:rsidRPr="00445B96" w:rsidRDefault="00445B96" w:rsidP="00445B96">
      <w:pPr>
        <w:rPr>
          <w:szCs w:val="18"/>
        </w:rPr>
      </w:pPr>
      <w:r>
        <w:rPr>
          <w:noProof/>
          <w:szCs w:val="18"/>
        </w:rPr>
        <w:lastRenderedPageBreak/>
        <w:drawing>
          <wp:inline distT="0" distB="0" distL="0" distR="0" wp14:anchorId="4B9BD609" wp14:editId="30962E30">
            <wp:extent cx="5155659" cy="2908570"/>
            <wp:effectExtent l="0" t="0" r="6985" b="6350"/>
            <wp:docPr id="19012622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4EFF009" w14:textId="6E89AF50" w:rsidR="00B7380D" w:rsidRDefault="002910F8" w:rsidP="00781F8A">
      <w:pPr>
        <w:pStyle w:val="Caption"/>
        <w:spacing w:before="240" w:after="240"/>
      </w:pPr>
      <w:bookmarkStart w:id="23" w:name="_Ref183527356"/>
      <w:bookmarkStart w:id="24" w:name="_Ref179878415"/>
      <w:r>
        <w:t xml:space="preserve">Figure </w:t>
      </w:r>
      <w:r w:rsidR="006D0DF0">
        <w:t>26</w:t>
      </w:r>
      <w:r w:rsidR="009F5AAF">
        <w:t>.</w:t>
      </w:r>
      <w:fldSimple w:instr=" SEQ Figure \* ARABIC ">
        <w:r w:rsidR="00880487">
          <w:rPr>
            <w:noProof/>
          </w:rPr>
          <w:t>2</w:t>
        </w:r>
      </w:fldSimple>
      <w:bookmarkEnd w:id="23"/>
      <w:r>
        <w:t xml:space="preserve"> Project construction emissions by source</w:t>
      </w:r>
      <w:bookmarkEnd w:id="24"/>
    </w:p>
    <w:p w14:paraId="35334997" w14:textId="04C78C3A" w:rsidR="006861CE" w:rsidRPr="009D4716" w:rsidRDefault="006861CE" w:rsidP="006861CE">
      <w:pPr>
        <w:pStyle w:val="Heading3"/>
      </w:pPr>
      <w:bookmarkStart w:id="25" w:name="_Ref183527203"/>
      <w:bookmarkStart w:id="26" w:name="_Toc182582725"/>
      <w:bookmarkStart w:id="27" w:name="_Toc201071042"/>
      <w:r>
        <w:t>Overall greenhouse gas emissions during construction</w:t>
      </w:r>
      <w:bookmarkEnd w:id="25"/>
      <w:bookmarkEnd w:id="26"/>
      <w:bookmarkEnd w:id="27"/>
    </w:p>
    <w:p w14:paraId="77D37430" w14:textId="345E47D6" w:rsidR="00160A47" w:rsidRDefault="009C732A" w:rsidP="003F6219">
      <w:pPr>
        <w:rPr>
          <w:lang w:val="en-GB"/>
        </w:rPr>
      </w:pPr>
      <w:r>
        <w:rPr>
          <w:lang w:val="en-GB"/>
        </w:rPr>
        <w:t>Overall, c</w:t>
      </w:r>
      <w:r w:rsidR="00C82353" w:rsidRPr="08955214">
        <w:rPr>
          <w:lang w:val="en-GB"/>
        </w:rPr>
        <w:t xml:space="preserve">onstruction of the Project is predicted to </w:t>
      </w:r>
      <w:r w:rsidR="00C82353">
        <w:rPr>
          <w:lang w:val="en-GB"/>
        </w:rPr>
        <w:t>generate</w:t>
      </w:r>
      <w:r w:rsidR="00C82353" w:rsidRPr="08955214">
        <w:rPr>
          <w:lang w:val="en-GB"/>
        </w:rPr>
        <w:t xml:space="preserve"> </w:t>
      </w:r>
      <w:r w:rsidR="00C82353">
        <w:rPr>
          <w:lang w:val="en-GB"/>
        </w:rPr>
        <w:t xml:space="preserve">464 </w:t>
      </w:r>
      <w:r w:rsidR="001461F7">
        <w:rPr>
          <w:lang w:val="en-GB"/>
        </w:rPr>
        <w:t>kilotonnes</w:t>
      </w:r>
      <w:r w:rsidR="00B62DF3">
        <w:rPr>
          <w:rStyle w:val="FootnoteReference"/>
          <w:lang w:val="en-GB"/>
        </w:rPr>
        <w:footnoteReference w:id="2"/>
      </w:r>
      <w:r w:rsidR="00C82353" w:rsidRPr="08955214">
        <w:rPr>
          <w:lang w:val="en-GB"/>
        </w:rPr>
        <w:t xml:space="preserve"> of CO</w:t>
      </w:r>
      <w:r w:rsidR="00C82353" w:rsidRPr="08955214">
        <w:rPr>
          <w:vertAlign w:val="subscript"/>
          <w:lang w:val="en-GB"/>
        </w:rPr>
        <w:t>2</w:t>
      </w:r>
      <w:r w:rsidR="00C82353" w:rsidRPr="08955214">
        <w:rPr>
          <w:lang w:val="en-GB"/>
        </w:rPr>
        <w:t>e</w:t>
      </w:r>
      <w:r w:rsidR="00C82353">
        <w:rPr>
          <w:lang w:val="en-GB"/>
        </w:rPr>
        <w:t>, translating to 232 kilo</w:t>
      </w:r>
      <w:r w:rsidR="00C82353" w:rsidRPr="08955214">
        <w:rPr>
          <w:lang w:val="en-GB"/>
        </w:rPr>
        <w:t>tonnes of CO</w:t>
      </w:r>
      <w:r w:rsidR="00C82353" w:rsidRPr="08955214">
        <w:rPr>
          <w:vertAlign w:val="subscript"/>
          <w:lang w:val="en-GB"/>
        </w:rPr>
        <w:t>2</w:t>
      </w:r>
      <w:r w:rsidR="00C82353" w:rsidRPr="08955214">
        <w:rPr>
          <w:lang w:val="en-GB"/>
        </w:rPr>
        <w:t>e</w:t>
      </w:r>
      <w:r w:rsidR="00C82353">
        <w:rPr>
          <w:lang w:val="en-GB"/>
        </w:rPr>
        <w:t xml:space="preserve"> per year of construction. </w:t>
      </w:r>
      <w:r w:rsidR="00C27A63">
        <w:rPr>
          <w:lang w:val="en-GB"/>
        </w:rPr>
        <w:t>T</w:t>
      </w:r>
      <w:r w:rsidR="00C82353">
        <w:rPr>
          <w:lang w:val="en-GB"/>
        </w:rPr>
        <w:t xml:space="preserve">he annual Scope 1 and Scope 2 emissions from the Project construction </w:t>
      </w:r>
      <w:r w:rsidR="00C27A63">
        <w:rPr>
          <w:lang w:val="en-GB"/>
        </w:rPr>
        <w:t xml:space="preserve">are </w:t>
      </w:r>
      <w:r w:rsidR="00115BF9">
        <w:rPr>
          <w:lang w:val="en-GB"/>
        </w:rPr>
        <w:t>expected to</w:t>
      </w:r>
      <w:r w:rsidR="00C82353">
        <w:rPr>
          <w:lang w:val="en-GB"/>
        </w:rPr>
        <w:t xml:space="preserve"> be 55 </w:t>
      </w:r>
      <w:r w:rsidR="001461F7">
        <w:rPr>
          <w:lang w:val="en-GB"/>
        </w:rPr>
        <w:t>kilotonnes</w:t>
      </w:r>
      <w:r w:rsidR="00C82353">
        <w:rPr>
          <w:lang w:val="en-GB"/>
        </w:rPr>
        <w:t xml:space="preserve"> of CO</w:t>
      </w:r>
      <w:r w:rsidR="00C82353" w:rsidRPr="00115BF9">
        <w:rPr>
          <w:vertAlign w:val="subscript"/>
          <w:lang w:val="en-GB"/>
        </w:rPr>
        <w:t>2</w:t>
      </w:r>
      <w:r w:rsidR="00C82353">
        <w:rPr>
          <w:lang w:val="en-GB"/>
        </w:rPr>
        <w:t xml:space="preserve">e, </w:t>
      </w:r>
      <w:r w:rsidR="001308AD">
        <w:rPr>
          <w:lang w:val="en-GB"/>
        </w:rPr>
        <w:t>which is</w:t>
      </w:r>
      <w:r w:rsidR="00CC06AA" w:rsidRPr="003F6219">
        <w:rPr>
          <w:lang w:val="en-GB"/>
        </w:rPr>
        <w:t xml:space="preserve"> greater than </w:t>
      </w:r>
      <w:r w:rsidR="001308AD">
        <w:rPr>
          <w:lang w:val="en-GB"/>
        </w:rPr>
        <w:t xml:space="preserve">the </w:t>
      </w:r>
      <w:r w:rsidR="001308AD" w:rsidRPr="001308AD">
        <w:rPr>
          <w:lang w:val="en-GB"/>
        </w:rPr>
        <w:t>NGER Scheme reporting threshold</w:t>
      </w:r>
      <w:r w:rsidR="001308AD">
        <w:rPr>
          <w:lang w:val="en-GB"/>
        </w:rPr>
        <w:t xml:space="preserve"> of</w:t>
      </w:r>
      <w:r w:rsidR="001308AD" w:rsidRPr="001308AD">
        <w:rPr>
          <w:lang w:val="en-GB"/>
        </w:rPr>
        <w:t xml:space="preserve"> </w:t>
      </w:r>
      <w:r w:rsidR="00CC06AA" w:rsidRPr="003F6219">
        <w:rPr>
          <w:lang w:val="en-GB"/>
        </w:rPr>
        <w:t>25 kilotonnes CO</w:t>
      </w:r>
      <w:r w:rsidR="00CC06AA" w:rsidRPr="003F6219">
        <w:rPr>
          <w:vertAlign w:val="subscript"/>
          <w:lang w:val="en-GB"/>
        </w:rPr>
        <w:t>2</w:t>
      </w:r>
      <w:r w:rsidR="00CC06AA" w:rsidRPr="003F6219">
        <w:rPr>
          <w:lang w:val="en-GB"/>
        </w:rPr>
        <w:t>e</w:t>
      </w:r>
      <w:r w:rsidR="00D5146C">
        <w:rPr>
          <w:lang w:val="en-GB"/>
        </w:rPr>
        <w:t xml:space="preserve">. </w:t>
      </w:r>
    </w:p>
    <w:p w14:paraId="1E2019E0" w14:textId="57A0B1EC" w:rsidR="00CC06AA" w:rsidRDefault="00160A47" w:rsidP="003F6219">
      <w:pPr>
        <w:rPr>
          <w:rFonts w:ascii="Arial" w:hAnsi="Arial" w:cs="Arial"/>
          <w:sz w:val="20"/>
          <w:szCs w:val="20"/>
        </w:rPr>
      </w:pPr>
      <w:r>
        <w:rPr>
          <w:lang w:val="en-GB"/>
        </w:rPr>
        <w:t xml:space="preserve">The integration of sustainable design practices (EPR SG2) is expected to mitigate this impact by saving energy and promoting renewable technology. </w:t>
      </w:r>
      <w:r w:rsidR="00D5146C">
        <w:rPr>
          <w:lang w:val="en-GB"/>
        </w:rPr>
        <w:t>A</w:t>
      </w:r>
      <w:r w:rsidR="00CC06AA" w:rsidRPr="003F6219">
        <w:rPr>
          <w:lang w:val="en-GB"/>
        </w:rPr>
        <w:t xml:space="preserve">s such, the </w:t>
      </w:r>
      <w:r w:rsidR="00E001B3">
        <w:rPr>
          <w:lang w:val="en-GB"/>
        </w:rPr>
        <w:t xml:space="preserve">overall </w:t>
      </w:r>
      <w:r w:rsidR="00CC06AA" w:rsidRPr="003F6219">
        <w:rPr>
          <w:lang w:val="en-GB"/>
        </w:rPr>
        <w:t>residual</w:t>
      </w:r>
      <w:r w:rsidR="00E001B3">
        <w:rPr>
          <w:lang w:val="en-GB"/>
        </w:rPr>
        <w:t xml:space="preserve"> construction</w:t>
      </w:r>
      <w:r w:rsidR="00CC06AA" w:rsidRPr="003F6219">
        <w:rPr>
          <w:lang w:val="en-GB"/>
        </w:rPr>
        <w:t xml:space="preserve"> impact</w:t>
      </w:r>
      <w:r w:rsidR="00B135FE">
        <w:rPr>
          <w:lang w:val="en-GB"/>
        </w:rPr>
        <w:t xml:space="preserve"> on greenhouse gas emissions</w:t>
      </w:r>
      <w:r w:rsidR="00CC06AA" w:rsidRPr="003F6219">
        <w:rPr>
          <w:lang w:val="en-GB"/>
        </w:rPr>
        <w:t xml:space="preserve"> </w:t>
      </w:r>
      <w:r w:rsidR="00470B1F" w:rsidRPr="003F6219">
        <w:rPr>
          <w:lang w:val="en-GB"/>
        </w:rPr>
        <w:t>is</w:t>
      </w:r>
      <w:r w:rsidR="00CC06AA" w:rsidRPr="003F6219">
        <w:rPr>
          <w:lang w:val="en-GB"/>
        </w:rPr>
        <w:t xml:space="preserve"> moderate.</w:t>
      </w:r>
      <w:r w:rsidR="00CC06AA">
        <w:rPr>
          <w:rStyle w:val="cf01"/>
        </w:rPr>
        <w:t xml:space="preserve"> </w:t>
      </w:r>
    </w:p>
    <w:p w14:paraId="72032380" w14:textId="4AD6A28B" w:rsidR="00CC69F9" w:rsidRDefault="00CC69F9" w:rsidP="00CC69F9">
      <w:pPr>
        <w:pStyle w:val="Heading2"/>
      </w:pPr>
      <w:bookmarkStart w:id="28" w:name="_Toc182582726"/>
      <w:bookmarkStart w:id="29" w:name="_Toc201071043"/>
      <w:r>
        <w:t>Operation impact</w:t>
      </w:r>
      <w:r w:rsidR="009A129C">
        <w:t>s</w:t>
      </w:r>
      <w:bookmarkEnd w:id="28"/>
      <w:bookmarkEnd w:id="29"/>
      <w:r>
        <w:t xml:space="preserve"> </w:t>
      </w:r>
    </w:p>
    <w:p w14:paraId="5BA6F13D" w14:textId="2B56D7EB" w:rsidR="007F55FC" w:rsidRDefault="00C87034" w:rsidP="00C87034">
      <w:r w:rsidRPr="5F5F54A2">
        <w:t xml:space="preserve">This section outlines the key issues identified through the risk screening process and associated </w:t>
      </w:r>
      <w:r w:rsidR="001D2FD1">
        <w:t xml:space="preserve">potential </w:t>
      </w:r>
      <w:r w:rsidRPr="5F5F54A2">
        <w:t xml:space="preserve">impacts during the operation of the Project. The key issues and impacts identified for greenhouse gas are </w:t>
      </w:r>
      <w:r w:rsidR="00B135FE" w:rsidRPr="5F5F54A2">
        <w:t xml:space="preserve">discussed </w:t>
      </w:r>
      <w:r w:rsidRPr="5F5F54A2">
        <w:t>according to the following themes</w:t>
      </w:r>
      <w:r w:rsidR="007F55FC" w:rsidRPr="5F5F54A2">
        <w:t>:</w:t>
      </w:r>
    </w:p>
    <w:p w14:paraId="3DF05B35" w14:textId="78138F74" w:rsidR="007F55FC" w:rsidRPr="007F55FC" w:rsidRDefault="007F55FC" w:rsidP="007F55FC">
      <w:pPr>
        <w:pStyle w:val="ListBullet"/>
      </w:pPr>
      <w:r w:rsidRPr="007F55FC">
        <w:t>E</w:t>
      </w:r>
      <w:r w:rsidR="00C87034" w:rsidRPr="007F55FC">
        <w:t>nergy related greenhouse gas emissions</w:t>
      </w:r>
      <w:r>
        <w:t xml:space="preserve">: </w:t>
      </w:r>
      <w:r w:rsidR="002F2A71">
        <w:t>electricity consumption at terminal station sites, and emissions related to fuel use for inspection and maintenance activities</w:t>
      </w:r>
      <w:r w:rsidR="00693058">
        <w:t>.</w:t>
      </w:r>
      <w:r w:rsidR="00C87034" w:rsidRPr="007F55FC">
        <w:t xml:space="preserve"> </w:t>
      </w:r>
    </w:p>
    <w:p w14:paraId="2C8F9F83" w14:textId="1B48A863" w:rsidR="00C87034" w:rsidRDefault="007F55FC" w:rsidP="00DF3155">
      <w:pPr>
        <w:pStyle w:val="ListBullet"/>
      </w:pPr>
      <w:r w:rsidRPr="007F55FC">
        <w:t>N</w:t>
      </w:r>
      <w:r w:rsidR="00C87034" w:rsidRPr="007F55FC">
        <w:t>on-energy related greenhouse gas emissions</w:t>
      </w:r>
      <w:r>
        <w:t xml:space="preserve">: </w:t>
      </w:r>
      <w:r w:rsidR="002F2A71">
        <w:t>potential leakage of SF</w:t>
      </w:r>
      <w:r w:rsidR="002F2A71">
        <w:rPr>
          <w:vertAlign w:val="subscript"/>
        </w:rPr>
        <w:t>6</w:t>
      </w:r>
      <w:r w:rsidR="002F2A71">
        <w:t xml:space="preserve"> from circuit breakers in terminal stations, and embodied emissions in replacement equipment over the life of the Project.</w:t>
      </w:r>
    </w:p>
    <w:p w14:paraId="11974D56" w14:textId="728FC33C" w:rsidR="00CC69F9" w:rsidRPr="009D4716" w:rsidRDefault="00B95962" w:rsidP="009D4716">
      <w:pPr>
        <w:pStyle w:val="Heading3"/>
      </w:pPr>
      <w:bookmarkStart w:id="30" w:name="_Toc183604383"/>
      <w:bookmarkStart w:id="31" w:name="_Toc183604418"/>
      <w:bookmarkStart w:id="32" w:name="_Toc183604384"/>
      <w:bookmarkStart w:id="33" w:name="_Toc183604419"/>
      <w:bookmarkStart w:id="34" w:name="_Toc183604385"/>
      <w:bookmarkStart w:id="35" w:name="_Toc183604420"/>
      <w:bookmarkStart w:id="36" w:name="_Toc183604400"/>
      <w:bookmarkStart w:id="37" w:name="_Toc183604435"/>
      <w:bookmarkStart w:id="38" w:name="_Toc183604401"/>
      <w:bookmarkStart w:id="39" w:name="_Toc183604436"/>
      <w:bookmarkStart w:id="40" w:name="_Toc182582727"/>
      <w:bookmarkStart w:id="41" w:name="_Toc201071044"/>
      <w:bookmarkEnd w:id="30"/>
      <w:bookmarkEnd w:id="31"/>
      <w:bookmarkEnd w:id="32"/>
      <w:bookmarkEnd w:id="33"/>
      <w:bookmarkEnd w:id="34"/>
      <w:bookmarkEnd w:id="35"/>
      <w:bookmarkEnd w:id="36"/>
      <w:bookmarkEnd w:id="37"/>
      <w:bookmarkEnd w:id="38"/>
      <w:bookmarkEnd w:id="39"/>
      <w:r>
        <w:t>Energy related greenhouse gas emissions</w:t>
      </w:r>
      <w:bookmarkEnd w:id="40"/>
      <w:bookmarkEnd w:id="41"/>
    </w:p>
    <w:p w14:paraId="2585F553" w14:textId="4D709BB5" w:rsidR="00E40FD7" w:rsidRDefault="00224FEB" w:rsidP="00781F8A">
      <w:r w:rsidRPr="5F5F54A2">
        <w:t>During operation,</w:t>
      </w:r>
      <w:r w:rsidR="004C72AF" w:rsidRPr="5F5F54A2">
        <w:t xml:space="preserve"> </w:t>
      </w:r>
      <w:r w:rsidR="00D5469D" w:rsidRPr="5F5F54A2">
        <w:t xml:space="preserve">energy related </w:t>
      </w:r>
      <w:r w:rsidR="00A96C30" w:rsidRPr="5F5F54A2">
        <w:t>greenhouse gas emissions</w:t>
      </w:r>
      <w:r w:rsidR="00D5469D" w:rsidRPr="5F5F54A2">
        <w:t xml:space="preserve"> associated with the Project include</w:t>
      </w:r>
      <w:r w:rsidR="00A96C30" w:rsidRPr="5F5F54A2">
        <w:t xml:space="preserve"> </w:t>
      </w:r>
      <w:r w:rsidR="00D5469D" w:rsidRPr="5F5F54A2">
        <w:t>those from</w:t>
      </w:r>
      <w:r w:rsidR="00A96C30" w:rsidRPr="5F5F54A2">
        <w:t xml:space="preserve"> the consumption of fuel during maintenance and </w:t>
      </w:r>
      <w:r w:rsidR="00A333AB" w:rsidRPr="5F5F54A2">
        <w:t>inspection activities</w:t>
      </w:r>
      <w:r w:rsidR="00B56BE3" w:rsidRPr="5F5F54A2">
        <w:t xml:space="preserve"> and the </w:t>
      </w:r>
      <w:r w:rsidR="00E77259" w:rsidRPr="5F5F54A2">
        <w:t>electricity</w:t>
      </w:r>
      <w:r w:rsidR="00B56BE3" w:rsidRPr="5F5F54A2">
        <w:t xml:space="preserve"> required</w:t>
      </w:r>
      <w:r w:rsidR="004268AC" w:rsidRPr="5F5F54A2">
        <w:t xml:space="preserve"> </w:t>
      </w:r>
      <w:r w:rsidR="00E77259" w:rsidRPr="5F5F54A2">
        <w:t>to perform standard operations</w:t>
      </w:r>
      <w:r w:rsidR="00B56BE3" w:rsidRPr="5F5F54A2">
        <w:t xml:space="preserve"> at the terminal stations</w:t>
      </w:r>
      <w:r w:rsidR="00E77259" w:rsidRPr="5F5F54A2">
        <w:t xml:space="preserve">. </w:t>
      </w:r>
    </w:p>
    <w:p w14:paraId="4AAC2036" w14:textId="1E5B490D" w:rsidR="00B677ED" w:rsidRDefault="00AF49BE" w:rsidP="00781F8A">
      <w:r w:rsidRPr="5F5F54A2">
        <w:t xml:space="preserve">As maintenance </w:t>
      </w:r>
      <w:r w:rsidR="000F0880" w:rsidRPr="5F5F54A2">
        <w:t>activities</w:t>
      </w:r>
      <w:r w:rsidRPr="5F5F54A2">
        <w:t xml:space="preserve"> </w:t>
      </w:r>
      <w:r w:rsidR="0058224E" w:rsidRPr="5F5F54A2">
        <w:t>will be undertaken on a</w:t>
      </w:r>
      <w:r w:rsidR="002202D0" w:rsidRPr="5F5F54A2">
        <w:t>n</w:t>
      </w:r>
      <w:r w:rsidR="0058224E" w:rsidRPr="5F5F54A2">
        <w:t xml:space="preserve"> ‘</w:t>
      </w:r>
      <w:r w:rsidR="00B56BE3" w:rsidRPr="5F5F54A2">
        <w:t>as</w:t>
      </w:r>
      <w:r w:rsidR="002202D0" w:rsidRPr="5F5F54A2">
        <w:t>-</w:t>
      </w:r>
      <w:r w:rsidR="00B56BE3" w:rsidRPr="5F5F54A2">
        <w:t>needed</w:t>
      </w:r>
      <w:r w:rsidR="0058224E" w:rsidRPr="5F5F54A2">
        <w:t>’ basis, emis</w:t>
      </w:r>
      <w:r w:rsidR="000F0880" w:rsidRPr="5F5F54A2">
        <w:t xml:space="preserve">sions cannot be easily quantified for these activities. </w:t>
      </w:r>
      <w:r w:rsidR="005B713E" w:rsidRPr="5F5F54A2">
        <w:t>Most</w:t>
      </w:r>
      <w:r w:rsidR="00614F15" w:rsidRPr="5F5F54A2">
        <w:t xml:space="preserve"> items </w:t>
      </w:r>
      <w:r w:rsidR="004268AC" w:rsidRPr="5F5F54A2">
        <w:t xml:space="preserve">that </w:t>
      </w:r>
      <w:r w:rsidR="00614F15" w:rsidRPr="5F5F54A2">
        <w:t xml:space="preserve">will </w:t>
      </w:r>
      <w:r w:rsidR="004268AC" w:rsidRPr="5F5F54A2">
        <w:t xml:space="preserve">require </w:t>
      </w:r>
      <w:r w:rsidR="00614F15" w:rsidRPr="5F5F54A2">
        <w:t xml:space="preserve">more frequent maintenance and replacement are </w:t>
      </w:r>
      <w:r w:rsidR="004268AC" w:rsidRPr="5F5F54A2">
        <w:t xml:space="preserve">usually </w:t>
      </w:r>
      <w:r w:rsidR="00614F15" w:rsidRPr="5F5F54A2">
        <w:t>small parts and the associated maintenance and replacement works are expected to contribute a negligible amount of greenhouse gas emissions.</w:t>
      </w:r>
    </w:p>
    <w:p w14:paraId="68153BA7" w14:textId="014DD816" w:rsidR="00E83BF9" w:rsidRDefault="005B713E" w:rsidP="00781F8A">
      <w:r w:rsidRPr="5F5F54A2">
        <w:lastRenderedPageBreak/>
        <w:t>Since</w:t>
      </w:r>
      <w:r w:rsidR="00EE246C" w:rsidRPr="5F5F54A2">
        <w:t xml:space="preserve"> the transmission line will connect renewable energy to the grid, the usage </w:t>
      </w:r>
      <w:r w:rsidR="00841FB0">
        <w:t xml:space="preserve">they </w:t>
      </w:r>
      <w:r w:rsidR="00EE246C" w:rsidRPr="5F5F54A2">
        <w:t>of electricity by the Bulgana and Elaine Terminal Stations</w:t>
      </w:r>
      <w:r w:rsidR="006B41CC" w:rsidRPr="5F5F54A2">
        <w:t>, as well as the</w:t>
      </w:r>
      <w:r w:rsidR="00DA692E" w:rsidRPr="5F5F54A2">
        <w:t xml:space="preserve"> new</w:t>
      </w:r>
      <w:r w:rsidR="001064D6" w:rsidRPr="5F5F54A2">
        <w:t xml:space="preserve"> 500</w:t>
      </w:r>
      <w:r w:rsidR="00230172" w:rsidRPr="5F5F54A2">
        <w:t>kV</w:t>
      </w:r>
      <w:r w:rsidR="006B41CC" w:rsidRPr="5F5F54A2">
        <w:t xml:space="preserve"> </w:t>
      </w:r>
      <w:r w:rsidR="003A7DCD" w:rsidRPr="5F5F54A2">
        <w:t>t</w:t>
      </w:r>
      <w:r w:rsidR="006B41CC" w:rsidRPr="5F5F54A2">
        <w:t xml:space="preserve">erminal </w:t>
      </w:r>
      <w:r w:rsidR="003A7DCD" w:rsidRPr="5F5F54A2">
        <w:t>s</w:t>
      </w:r>
      <w:r w:rsidR="006B41CC" w:rsidRPr="5F5F54A2">
        <w:t>tation near Bulgana</w:t>
      </w:r>
      <w:r w:rsidR="00DB4349" w:rsidRPr="5F5F54A2">
        <w:t>,</w:t>
      </w:r>
      <w:r w:rsidR="00EE246C" w:rsidRPr="5F5F54A2">
        <w:t xml:space="preserve"> will be predominately associated with renewable source</w:t>
      </w:r>
      <w:r w:rsidR="00701250" w:rsidRPr="5F5F54A2">
        <w:t>s</w:t>
      </w:r>
      <w:r w:rsidR="00EE246C" w:rsidRPr="5F5F54A2">
        <w:t xml:space="preserve"> </w:t>
      </w:r>
      <w:r w:rsidR="00834DFA" w:rsidRPr="5F5F54A2">
        <w:t xml:space="preserve">of generated </w:t>
      </w:r>
      <w:r w:rsidR="00EE246C" w:rsidRPr="5F5F54A2">
        <w:t xml:space="preserve">electricity and will </w:t>
      </w:r>
      <w:r w:rsidR="004268AC" w:rsidRPr="5F5F54A2">
        <w:t xml:space="preserve">generate net-zero </w:t>
      </w:r>
      <w:r w:rsidR="00EE246C" w:rsidRPr="5F5F54A2">
        <w:t>emissions.</w:t>
      </w:r>
      <w:r w:rsidR="00981867" w:rsidRPr="5F5F54A2">
        <w:t xml:space="preserve"> </w:t>
      </w:r>
      <w:r w:rsidR="00407E3D" w:rsidRPr="5F5F54A2">
        <w:t>The Sydenham Terminal Station, however, will be powered by a separate grid connection</w:t>
      </w:r>
      <w:r w:rsidR="00256484" w:rsidRPr="5F5F54A2">
        <w:t xml:space="preserve"> </w:t>
      </w:r>
      <w:r w:rsidR="009B0139" w:rsidRPr="5F5F54A2">
        <w:t>which</w:t>
      </w:r>
      <w:r w:rsidR="00407E3D" w:rsidRPr="5F5F54A2">
        <w:t xml:space="preserve"> is assumed to </w:t>
      </w:r>
      <w:r w:rsidR="00D12F25" w:rsidRPr="5F5F54A2">
        <w:t>comprise</w:t>
      </w:r>
      <w:r w:rsidR="00407E3D" w:rsidRPr="5F5F54A2">
        <w:t xml:space="preserve"> electricity representing the average National Electricity Market mix of generators.</w:t>
      </w:r>
      <w:r w:rsidR="005B63FA" w:rsidRPr="5F5F54A2">
        <w:t xml:space="preserve"> </w:t>
      </w:r>
      <w:r w:rsidR="00DD4335" w:rsidRPr="5F5F54A2">
        <w:t xml:space="preserve">As the electricity grid continues to undergo decarbonisation, the emissions associated with the usage of grid electricity </w:t>
      </w:r>
      <w:r w:rsidR="004268AC" w:rsidRPr="5F5F54A2">
        <w:t>may</w:t>
      </w:r>
      <w:r w:rsidR="00DD4335" w:rsidRPr="5F5F54A2">
        <w:t xml:space="preserve"> reduce until </w:t>
      </w:r>
      <w:r w:rsidR="004268AC" w:rsidRPr="5F5F54A2">
        <w:t xml:space="preserve">the target deadline to </w:t>
      </w:r>
      <w:r w:rsidR="00DD4335" w:rsidRPr="5F5F54A2">
        <w:t>decarbonis</w:t>
      </w:r>
      <w:r w:rsidR="004268AC" w:rsidRPr="5F5F54A2">
        <w:t>e</w:t>
      </w:r>
      <w:r w:rsidR="00DD4335" w:rsidRPr="5F5F54A2">
        <w:t xml:space="preserve"> in 2050. As such, over the 45-year life of the terminal stations, the emissions associated with their operation will progressively reduce to </w:t>
      </w:r>
      <w:r w:rsidR="004268AC" w:rsidRPr="5F5F54A2">
        <w:t>net-</w:t>
      </w:r>
      <w:r w:rsidR="00DD4335" w:rsidRPr="5F5F54A2">
        <w:t>zero over time.</w:t>
      </w:r>
    </w:p>
    <w:p w14:paraId="0EC02A09" w14:textId="66F21CF6" w:rsidR="0031340F" w:rsidRDefault="00C0345A" w:rsidP="00781F8A">
      <w:r>
        <w:t xml:space="preserve">As discussed </w:t>
      </w:r>
      <w:r w:rsidR="00A37A79">
        <w:t xml:space="preserve">in Section </w:t>
      </w:r>
      <w:r w:rsidR="0028675D">
        <w:fldChar w:fldCharType="begin"/>
      </w:r>
      <w:r w:rsidR="0028675D">
        <w:instrText xml:space="preserve"> REF _Ref181087985 \r \h </w:instrText>
      </w:r>
      <w:r w:rsidR="00781F8A">
        <w:instrText xml:space="preserve"> \* MERGEFORMAT </w:instrText>
      </w:r>
      <w:r w:rsidR="0028675D">
        <w:fldChar w:fldCharType="separate"/>
      </w:r>
      <w:r w:rsidR="00880487">
        <w:t>26.4</w:t>
      </w:r>
      <w:r w:rsidR="0028675D">
        <w:fldChar w:fldCharType="end"/>
      </w:r>
      <w:r w:rsidR="00A37A79">
        <w:t xml:space="preserve">, </w:t>
      </w:r>
      <w:r w:rsidR="00D23899">
        <w:t xml:space="preserve">the development </w:t>
      </w:r>
      <w:r w:rsidR="00542598">
        <w:t>and implementation of sustainability targets, a Sustainability Management Plan (EPR SG1)</w:t>
      </w:r>
      <w:r w:rsidR="00542598" w:rsidRPr="00542598">
        <w:t xml:space="preserve">, and measures incorporated into the Project’s detailed design stage will minimise greenhouse gas emissions </w:t>
      </w:r>
      <w:r w:rsidR="00DA3024">
        <w:t>during operation</w:t>
      </w:r>
      <w:r w:rsidR="00542598" w:rsidRPr="00542598">
        <w:t xml:space="preserve"> of the Project (EPR SG2).</w:t>
      </w:r>
      <w:r w:rsidR="00343C57" w:rsidDel="00CF14C3">
        <w:t xml:space="preserve"> </w:t>
      </w:r>
      <w:r w:rsidR="00902986">
        <w:t xml:space="preserve">Specific management measures during the operational stage of the Project </w:t>
      </w:r>
      <w:r w:rsidR="00B308CB">
        <w:t xml:space="preserve">to reduce </w:t>
      </w:r>
      <w:r w:rsidR="00902986">
        <w:t>energy related greenhouse gas emissions include:</w:t>
      </w:r>
    </w:p>
    <w:p w14:paraId="6C977031" w14:textId="42E5A228" w:rsidR="0044658C" w:rsidRDefault="0044658C" w:rsidP="00A06137">
      <w:pPr>
        <w:pStyle w:val="ListBullet"/>
      </w:pPr>
      <w:r>
        <w:t>Adopting inspection and maintenance procedures to minimise fuel combustion where possible</w:t>
      </w:r>
      <w:r w:rsidR="00090E12">
        <w:t>, including</w:t>
      </w:r>
      <w:r>
        <w:t xml:space="preserve"> shutting off equipment when not in use and using more </w:t>
      </w:r>
      <w:r w:rsidR="00090E12">
        <w:t>fuel-</w:t>
      </w:r>
      <w:r>
        <w:t>efficient equipment</w:t>
      </w:r>
    </w:p>
    <w:p w14:paraId="57EC6894" w14:textId="5EB243A5" w:rsidR="00902986" w:rsidRDefault="0044658C" w:rsidP="00A06137">
      <w:pPr>
        <w:pStyle w:val="ListBullet"/>
      </w:pPr>
      <w:r>
        <w:t>Exploring opportunities to use renewable energy sources for inspection vehicles</w:t>
      </w:r>
      <w:r w:rsidR="00090E12">
        <w:t>,</w:t>
      </w:r>
      <w:r>
        <w:t xml:space="preserve"> where practical</w:t>
      </w:r>
      <w:r w:rsidR="004268AC">
        <w:t>.</w:t>
      </w:r>
      <w:r w:rsidR="00782357" w:rsidRPr="00782357">
        <w:t xml:space="preserve"> This could include the adoption of electric or hybrid vehicles into the inspection vehicle fleet or mandating the use of biodiesel in inspection vehicles.</w:t>
      </w:r>
    </w:p>
    <w:p w14:paraId="03EBD9F3" w14:textId="7A94D69D" w:rsidR="00115BF9" w:rsidRDefault="00115BF9" w:rsidP="00781F8A">
      <w:r w:rsidRPr="5F5F54A2">
        <w:t xml:space="preserve">Following the application </w:t>
      </w:r>
      <w:r w:rsidR="00960282" w:rsidRPr="5F5F54A2">
        <w:t xml:space="preserve">of </w:t>
      </w:r>
      <w:r w:rsidRPr="5F5F54A2">
        <w:t xml:space="preserve">these </w:t>
      </w:r>
      <w:r w:rsidR="007E661C" w:rsidRPr="5F5F54A2">
        <w:t>measures,</w:t>
      </w:r>
      <w:r w:rsidRPr="5F5F54A2">
        <w:t xml:space="preserve"> Scope 1 and Scope 2 greenhouse gas impacts in the initial year would likely remain greater than 25 kilotonnes CO</w:t>
      </w:r>
      <w:r w:rsidRPr="5F5F54A2">
        <w:rPr>
          <w:vertAlign w:val="subscript"/>
        </w:rPr>
        <w:t>2</w:t>
      </w:r>
      <w:r w:rsidRPr="5F5F54A2">
        <w:t>e, and would have a moderate residual impact. As the grid continues to undergo decarboni</w:t>
      </w:r>
      <w:r w:rsidR="001D7E40" w:rsidRPr="5F5F54A2">
        <w:t>s</w:t>
      </w:r>
      <w:r w:rsidRPr="5F5F54A2">
        <w:t xml:space="preserve">ation, the </w:t>
      </w:r>
      <w:r w:rsidR="00B135FE" w:rsidRPr="5F5F54A2">
        <w:t xml:space="preserve">residual </w:t>
      </w:r>
      <w:r w:rsidRPr="5F5F54A2">
        <w:t>impact rating will reduce to minor.</w:t>
      </w:r>
    </w:p>
    <w:p w14:paraId="12FFACF6" w14:textId="6F074A2B" w:rsidR="00CC69F9" w:rsidRPr="009D4716" w:rsidRDefault="00CF14C3" w:rsidP="009D4716">
      <w:pPr>
        <w:pStyle w:val="Heading3"/>
      </w:pPr>
      <w:bookmarkStart w:id="42" w:name="_Toc179878109"/>
      <w:bookmarkStart w:id="43" w:name="_Toc182582728"/>
      <w:bookmarkStart w:id="44" w:name="_Toc201071045"/>
      <w:bookmarkEnd w:id="42"/>
      <w:r>
        <w:t>Non-energy related greenhouse gas emissions</w:t>
      </w:r>
      <w:bookmarkEnd w:id="43"/>
      <w:bookmarkEnd w:id="44"/>
    </w:p>
    <w:p w14:paraId="0B458317" w14:textId="1C6B8B06" w:rsidR="00D5469D" w:rsidRDefault="00D5469D" w:rsidP="00D5469D">
      <w:r>
        <w:t>During operation, non-energy related emissions associated with the Project include embedded emissions in replacement materials and the leakage of SF</w:t>
      </w:r>
      <w:r w:rsidRPr="00712812">
        <w:rPr>
          <w:vertAlign w:val="subscript"/>
        </w:rPr>
        <w:t>6</w:t>
      </w:r>
      <w:r>
        <w:t xml:space="preserve"> from terminal stations.</w:t>
      </w:r>
    </w:p>
    <w:p w14:paraId="2D4BB4F3" w14:textId="19DEB2D3" w:rsidR="00996B94" w:rsidRPr="003F6219" w:rsidRDefault="00996B94" w:rsidP="00996B94">
      <w:pPr>
        <w:rPr>
          <w:b/>
          <w:bCs/>
        </w:rPr>
      </w:pPr>
      <w:r w:rsidRPr="00346925">
        <w:t xml:space="preserve">Over the life of the Project, certain equipment </w:t>
      </w:r>
      <w:r>
        <w:t xml:space="preserve">on the transmission line and at the terminal stations </w:t>
      </w:r>
      <w:r w:rsidRPr="00346925">
        <w:t>may need to be replaced</w:t>
      </w:r>
      <w:r>
        <w:t xml:space="preserve">. These replacement parts and equipment will have embedded emissions. </w:t>
      </w:r>
      <w:r w:rsidRPr="00A26D90">
        <w:t xml:space="preserve">Due to the vastly differing types of </w:t>
      </w:r>
      <w:r>
        <w:t xml:space="preserve">parts and </w:t>
      </w:r>
      <w:r w:rsidRPr="00A26D90">
        <w:t>equipment and the fact that the equipment will be replaced on a</w:t>
      </w:r>
      <w:r>
        <w:t xml:space="preserve">n ‘as needed’ </w:t>
      </w:r>
      <w:r w:rsidRPr="00A26D90">
        <w:t xml:space="preserve">basis, the associated emissions cannot be easily quantified. </w:t>
      </w:r>
    </w:p>
    <w:p w14:paraId="372D223C" w14:textId="592E3EAE" w:rsidR="00D56C89" w:rsidRDefault="00996B94" w:rsidP="00902752">
      <w:r>
        <w:t>As discussed in Section</w:t>
      </w:r>
      <w:r w:rsidR="00EA17CF">
        <w:t xml:space="preserve"> </w:t>
      </w:r>
      <w:r w:rsidR="00EA17CF">
        <w:fldChar w:fldCharType="begin"/>
      </w:r>
      <w:r w:rsidR="00EA17CF">
        <w:instrText xml:space="preserve"> REF _Ref184034652 \r \h </w:instrText>
      </w:r>
      <w:r w:rsidR="00EA17CF">
        <w:fldChar w:fldCharType="separate"/>
      </w:r>
      <w:r w:rsidR="00207A0D">
        <w:t>26.8</w:t>
      </w:r>
      <w:r w:rsidR="00EA17CF">
        <w:fldChar w:fldCharType="end"/>
      </w:r>
      <w:r>
        <w:t xml:space="preserve">, </w:t>
      </w:r>
      <w:r w:rsidRPr="005B765C">
        <w:t xml:space="preserve">the development and implementation of sustainability targets, a Sustainability Management Plan (EPR SG1), and measures incorporated into the Project’s detailed design stage will minimise greenhouse gas emissions </w:t>
      </w:r>
      <w:r w:rsidR="000B6D30">
        <w:t xml:space="preserve">during the operational stage </w:t>
      </w:r>
      <w:r w:rsidRPr="005B765C">
        <w:t xml:space="preserve">of the Project (EPR SG2). </w:t>
      </w:r>
      <w:r w:rsidRPr="00542598">
        <w:t xml:space="preserve">Further, the Sustainability Management Plan </w:t>
      </w:r>
      <w:r>
        <w:t>will</w:t>
      </w:r>
      <w:r w:rsidRPr="00542598">
        <w:t xml:space="preserve"> include measures to track and manage SF</w:t>
      </w:r>
      <w:r>
        <w:rPr>
          <w:vertAlign w:val="subscript"/>
        </w:rPr>
        <w:t>6</w:t>
      </w:r>
      <w:r w:rsidR="00B64353" w:rsidRPr="003F6219">
        <w:t>,</w:t>
      </w:r>
      <w:r w:rsidRPr="003F6219">
        <w:t xml:space="preserve"> which is a key </w:t>
      </w:r>
      <w:r>
        <w:t xml:space="preserve">emission from </w:t>
      </w:r>
      <w:r w:rsidR="00B64353">
        <w:t>circuit breakers</w:t>
      </w:r>
      <w:r w:rsidR="00F73018">
        <w:t xml:space="preserve"> in terminal stations</w:t>
      </w:r>
      <w:r w:rsidR="00B64353">
        <w:t xml:space="preserve">. AusNet will utilise </w:t>
      </w:r>
      <w:r>
        <w:t>a leak detection and repair strategy to effectively detect and manage SF</w:t>
      </w:r>
      <w:r>
        <w:rPr>
          <w:vertAlign w:val="subscript"/>
        </w:rPr>
        <w:t>6</w:t>
      </w:r>
      <w:r>
        <w:t xml:space="preserve"> (EPR </w:t>
      </w:r>
      <w:r w:rsidR="00BB28DC">
        <w:t>SG1</w:t>
      </w:r>
      <w:r>
        <w:t>).</w:t>
      </w:r>
      <w:r w:rsidRPr="00542598">
        <w:t xml:space="preserve"> </w:t>
      </w:r>
      <w:r w:rsidR="00AD7E6A">
        <w:t>Measures implemented during d</w:t>
      </w:r>
      <w:r w:rsidRPr="00542598">
        <w:t xml:space="preserve">esign </w:t>
      </w:r>
      <w:r w:rsidR="00B64353">
        <w:t>will</w:t>
      </w:r>
      <w:r w:rsidRPr="00542598">
        <w:t xml:space="preserve"> include </w:t>
      </w:r>
      <w:r w:rsidR="00362D2E">
        <w:t>ensuring</w:t>
      </w:r>
      <w:r w:rsidR="00362D2E" w:rsidRPr="00542598">
        <w:t xml:space="preserve"> </w:t>
      </w:r>
      <w:r w:rsidRPr="00542598">
        <w:t>vendors adopt technology to minimise handling during SF</w:t>
      </w:r>
      <w:r>
        <w:rPr>
          <w:vertAlign w:val="subscript"/>
        </w:rPr>
        <w:t>6</w:t>
      </w:r>
      <w:r w:rsidRPr="00542598">
        <w:t xml:space="preserve"> delivery and maximise SF</w:t>
      </w:r>
      <w:r>
        <w:rPr>
          <w:vertAlign w:val="subscript"/>
        </w:rPr>
        <w:t>6</w:t>
      </w:r>
      <w:r w:rsidRPr="00542598">
        <w:t xml:space="preserve"> utilisation (EPR SG2).</w:t>
      </w:r>
      <w:r>
        <w:t xml:space="preserve"> </w:t>
      </w:r>
      <w:r w:rsidRPr="00A26D90">
        <w:t xml:space="preserve">Given the items predicted to be replaced annually are typically small parts, it is expected that the embedded emissions in the replacement equipment would contribute a </w:t>
      </w:r>
      <w:r w:rsidR="00BF00C8">
        <w:t>n</w:t>
      </w:r>
      <w:r w:rsidRPr="00A26D90">
        <w:t>egligible amount of greenhouse gas emissions.</w:t>
      </w:r>
      <w:r w:rsidR="00BF00C8">
        <w:t xml:space="preserve"> </w:t>
      </w:r>
    </w:p>
    <w:p w14:paraId="0C423929" w14:textId="4D352FDC" w:rsidR="00CF12A3" w:rsidRDefault="00CF12A3" w:rsidP="00DF3155">
      <w:pPr>
        <w:pStyle w:val="Heading3"/>
      </w:pPr>
      <w:bookmarkStart w:id="45" w:name="_Toc201071046"/>
      <w:r>
        <w:t>Overall greenhouse gas emissions during operation</w:t>
      </w:r>
      <w:bookmarkEnd w:id="45"/>
    </w:p>
    <w:p w14:paraId="7FBAB6AA" w14:textId="1F3DEC88" w:rsidR="00CF12A3" w:rsidRDefault="00CF12A3" w:rsidP="00CF12A3">
      <w:r w:rsidRPr="5F5F54A2">
        <w:t xml:space="preserve">The operation of the Project is predicted to produce </w:t>
      </w:r>
      <w:r w:rsidR="00B64CB2">
        <w:t>27.04</w:t>
      </w:r>
      <w:r w:rsidRPr="5F5F54A2">
        <w:t xml:space="preserve"> kilotonnes of CO</w:t>
      </w:r>
      <w:r w:rsidRPr="5F5F54A2">
        <w:rPr>
          <w:vertAlign w:val="subscript"/>
        </w:rPr>
        <w:t>2</w:t>
      </w:r>
      <w:r w:rsidRPr="5F5F54A2">
        <w:t>e during the first year of operation with a gradual decrease from 202</w:t>
      </w:r>
      <w:r w:rsidR="00E839CC">
        <w:t>9</w:t>
      </w:r>
      <w:r w:rsidRPr="5F5F54A2">
        <w:t xml:space="preserve"> onwards as the grid decarbonises over the Project’s 80-year life to 0.27 kilotonnes of CO</w:t>
      </w:r>
      <w:r w:rsidRPr="5F5F54A2">
        <w:rPr>
          <w:vertAlign w:val="subscript"/>
        </w:rPr>
        <w:t>2</w:t>
      </w:r>
      <w:r w:rsidRPr="5F5F54A2">
        <w:t xml:space="preserve">e by the final year of operation. </w:t>
      </w:r>
      <w:r w:rsidR="00160A47" w:rsidRPr="5F5F54A2">
        <w:t xml:space="preserve">The implementation of sustainability targets and </w:t>
      </w:r>
      <w:r w:rsidR="003F0122">
        <w:t>a</w:t>
      </w:r>
      <w:r w:rsidR="003F0122" w:rsidRPr="5F5F54A2">
        <w:t xml:space="preserve"> </w:t>
      </w:r>
      <w:r w:rsidR="00160A47" w:rsidRPr="5F5F54A2">
        <w:t>Sustainability Management Plan (EPR SG1) will mitigate greenhouse gas emissions during operation. As such, residual impacts associated with the</w:t>
      </w:r>
      <w:r w:rsidR="00B135FE" w:rsidRPr="5F5F54A2">
        <w:t xml:space="preserve"> </w:t>
      </w:r>
      <w:r w:rsidRPr="5F5F54A2">
        <w:t xml:space="preserve">Scope 1 and Scope 2 emissions </w:t>
      </w:r>
      <w:r w:rsidR="00160A47" w:rsidRPr="5F5F54A2">
        <w:t xml:space="preserve">during operation </w:t>
      </w:r>
      <w:r w:rsidRPr="5F5F54A2">
        <w:t xml:space="preserve">would initially </w:t>
      </w:r>
      <w:r w:rsidR="00160A47" w:rsidRPr="5F5F54A2">
        <w:t>be</w:t>
      </w:r>
      <w:r w:rsidRPr="5F5F54A2">
        <w:t xml:space="preserve"> moderate, </w:t>
      </w:r>
      <w:r w:rsidR="00160A47" w:rsidRPr="5F5F54A2">
        <w:t xml:space="preserve">and </w:t>
      </w:r>
      <w:r w:rsidRPr="5F5F54A2">
        <w:t xml:space="preserve">would decrease to minor as the grid continues </w:t>
      </w:r>
      <w:r w:rsidR="00545E73" w:rsidRPr="5F5F54A2">
        <w:t xml:space="preserve">to </w:t>
      </w:r>
      <w:r w:rsidRPr="5F5F54A2">
        <w:t>decarbonis</w:t>
      </w:r>
      <w:r w:rsidR="00545E73" w:rsidRPr="5F5F54A2">
        <w:t>e</w:t>
      </w:r>
      <w:r w:rsidRPr="5F5F54A2">
        <w:t>.</w:t>
      </w:r>
    </w:p>
    <w:p w14:paraId="38FE9E7B" w14:textId="57506BD2" w:rsidR="00CF12A3" w:rsidRDefault="00CF12A3" w:rsidP="00CF12A3">
      <w:pPr>
        <w:keepLines/>
      </w:pPr>
      <w:r>
        <w:rPr>
          <w:lang w:val="en-GB"/>
        </w:rPr>
        <w:lastRenderedPageBreak/>
        <w:t xml:space="preserve">With no </w:t>
      </w:r>
      <w:r w:rsidRPr="0062508B">
        <w:t xml:space="preserve">mitigation measures applied, the operation of the Project will </w:t>
      </w:r>
      <w:r>
        <w:t>contribute</w:t>
      </w:r>
      <w:r w:rsidRPr="0062508B">
        <w:t xml:space="preserve"> approximately 0.0</w:t>
      </w:r>
      <w:r w:rsidR="00E839CC">
        <w:t>3</w:t>
      </w:r>
      <w:r w:rsidR="00B135FE">
        <w:rPr>
          <w:szCs w:val="18"/>
        </w:rPr>
        <w:t xml:space="preserve"> per </w:t>
      </w:r>
      <w:r w:rsidR="00712812">
        <w:rPr>
          <w:szCs w:val="18"/>
        </w:rPr>
        <w:t>cent</w:t>
      </w:r>
      <w:r w:rsidR="00712812" w:rsidRPr="0062508B" w:rsidDel="00B135FE">
        <w:t xml:space="preserve"> </w:t>
      </w:r>
      <w:r w:rsidR="00712812" w:rsidRPr="0062508B">
        <w:t>to</w:t>
      </w:r>
      <w:r w:rsidRPr="0062508B">
        <w:t xml:space="preserve"> less than 0.01</w:t>
      </w:r>
      <w:r w:rsidR="00B135FE">
        <w:t xml:space="preserve"> </w:t>
      </w:r>
      <w:r w:rsidR="00B135FE">
        <w:rPr>
          <w:szCs w:val="18"/>
        </w:rPr>
        <w:t>per cent</w:t>
      </w:r>
      <w:r w:rsidRPr="0062508B">
        <w:t xml:space="preserve"> of Victoria’s</w:t>
      </w:r>
      <w:r>
        <w:t>,</w:t>
      </w:r>
      <w:r w:rsidRPr="0062508B">
        <w:t xml:space="preserve"> and</w:t>
      </w:r>
      <w:r>
        <w:t xml:space="preserve"> </w:t>
      </w:r>
      <w:r w:rsidRPr="0000584A">
        <w:t>0.00</w:t>
      </w:r>
      <w:r w:rsidR="00E839CC">
        <w:t>6</w:t>
      </w:r>
      <w:r w:rsidR="00B135FE">
        <w:rPr>
          <w:szCs w:val="18"/>
        </w:rPr>
        <w:t xml:space="preserve"> per cent</w:t>
      </w:r>
      <w:r w:rsidRPr="0000584A">
        <w:t xml:space="preserve"> to less than 0</w:t>
      </w:r>
      <w:r>
        <w:t>.</w:t>
      </w:r>
      <w:r w:rsidRPr="0000584A">
        <w:t>001</w:t>
      </w:r>
      <w:r w:rsidR="00B135FE">
        <w:rPr>
          <w:szCs w:val="18"/>
        </w:rPr>
        <w:t xml:space="preserve"> per cent</w:t>
      </w:r>
      <w:r w:rsidRPr="0000584A">
        <w:t xml:space="preserve"> of Australia’s overall greenhouse gas emissions</w:t>
      </w:r>
      <w:r w:rsidR="00EC2302">
        <w:t>.</w:t>
      </w:r>
      <w:r w:rsidRPr="000C7A22">
        <w:rPr>
          <w:lang w:val="en-GB"/>
        </w:rPr>
        <w:t xml:space="preserve"> A</w:t>
      </w:r>
      <w:r>
        <w:rPr>
          <w:lang w:val="en-GB"/>
        </w:rPr>
        <w:t xml:space="preserve">s the Project also intends to </w:t>
      </w:r>
      <w:r w:rsidRPr="00BF647D">
        <w:rPr>
          <w:lang w:val="en-GB"/>
        </w:rPr>
        <w:t xml:space="preserve">increase the uptake of </w:t>
      </w:r>
      <w:r>
        <w:rPr>
          <w:lang w:val="en-GB"/>
        </w:rPr>
        <w:t>zero</w:t>
      </w:r>
      <w:r w:rsidRPr="000C7A22">
        <w:rPr>
          <w:lang w:val="en-GB"/>
        </w:rPr>
        <w:t xml:space="preserve"> emissions </w:t>
      </w:r>
      <w:r w:rsidRPr="00BF647D">
        <w:rPr>
          <w:lang w:val="en-GB"/>
        </w:rPr>
        <w:t>renewable energ</w:t>
      </w:r>
      <w:r>
        <w:rPr>
          <w:lang w:val="en-GB"/>
        </w:rPr>
        <w:t xml:space="preserve">y, it meets the </w:t>
      </w:r>
      <w:r w:rsidRPr="00BF647D">
        <w:rPr>
          <w:lang w:val="en-GB"/>
        </w:rPr>
        <w:t xml:space="preserve">requirements of the </w:t>
      </w:r>
      <w:r w:rsidRPr="00BF647D">
        <w:rPr>
          <w:i/>
          <w:iCs/>
          <w:lang w:val="en-GB"/>
        </w:rPr>
        <w:t>Climate Change Act 2017</w:t>
      </w:r>
      <w:r>
        <w:rPr>
          <w:i/>
          <w:iCs/>
          <w:lang w:val="en-GB"/>
        </w:rPr>
        <w:t xml:space="preserve"> </w:t>
      </w:r>
      <w:r>
        <w:rPr>
          <w:lang w:val="en-GB"/>
        </w:rPr>
        <w:t>and</w:t>
      </w:r>
      <w:r w:rsidRPr="000C7A22">
        <w:rPr>
          <w:lang w:val="en-GB"/>
        </w:rPr>
        <w:t xml:space="preserve"> fits </w:t>
      </w:r>
      <w:r>
        <w:rPr>
          <w:lang w:val="en-GB"/>
        </w:rPr>
        <w:t>in</w:t>
      </w:r>
      <w:r w:rsidRPr="00BF647D">
        <w:rPr>
          <w:lang w:val="en-GB"/>
        </w:rPr>
        <w:t xml:space="preserve"> with the goals of the </w:t>
      </w:r>
      <w:r>
        <w:rPr>
          <w:lang w:val="en-GB"/>
        </w:rPr>
        <w:t>Australian</w:t>
      </w:r>
      <w:r w:rsidRPr="000C7A22">
        <w:rPr>
          <w:lang w:val="en-GB"/>
        </w:rPr>
        <w:t xml:space="preserve"> Government’s</w:t>
      </w:r>
      <w:r w:rsidRPr="00BF647D">
        <w:rPr>
          <w:lang w:val="en-GB"/>
        </w:rPr>
        <w:t xml:space="preserve"> 2030 Emissions Reduction Target.</w:t>
      </w:r>
    </w:p>
    <w:p w14:paraId="1B129EF1" w14:textId="6CEA168F" w:rsidR="00CF12A3" w:rsidRDefault="00CF12A3" w:rsidP="00781F8A">
      <w:pPr>
        <w:pStyle w:val="Caption"/>
        <w:keepNext/>
        <w:spacing w:before="240"/>
      </w:pPr>
      <w:r>
        <w:t xml:space="preserve">Table </w:t>
      </w:r>
      <w:fldSimple w:instr=" STYLEREF 1 \s ">
        <w:r w:rsidR="00880487">
          <w:rPr>
            <w:noProof/>
          </w:rPr>
          <w:t>26</w:t>
        </w:r>
      </w:fldSimple>
      <w:r w:rsidR="009F5AAF">
        <w:rPr>
          <w:noProof/>
        </w:rPr>
        <w:t>.</w:t>
      </w:r>
      <w:fldSimple w:instr=" SEQ Table \* ARABIC \s 1 ">
        <w:r w:rsidR="00880487">
          <w:rPr>
            <w:noProof/>
          </w:rPr>
          <w:t>2</w:t>
        </w:r>
      </w:fldSimple>
      <w:r>
        <w:t xml:space="preserve"> </w:t>
      </w:r>
      <w:r w:rsidRPr="003D245C">
        <w:t>Emission contributions of the Project in the context of overall state and Commonwealth emissions</w:t>
      </w:r>
    </w:p>
    <w:tbl>
      <w:tblPr>
        <w:tblStyle w:val="WVTTable2"/>
        <w:tblW w:w="5000" w:type="pct"/>
        <w:tblLook w:val="0420" w:firstRow="1" w:lastRow="0" w:firstColumn="0" w:lastColumn="0" w:noHBand="0" w:noVBand="1"/>
      </w:tblPr>
      <w:tblGrid>
        <w:gridCol w:w="1058"/>
        <w:gridCol w:w="1803"/>
        <w:gridCol w:w="1475"/>
        <w:gridCol w:w="1487"/>
        <w:gridCol w:w="1616"/>
        <w:gridCol w:w="1631"/>
      </w:tblGrid>
      <w:tr w:rsidR="00CF12A3" w:rsidRPr="00084F87" w14:paraId="129D1836" w14:textId="77777777" w:rsidTr="00781F8A">
        <w:trPr>
          <w:cnfStyle w:val="100000000000" w:firstRow="1" w:lastRow="0" w:firstColumn="0" w:lastColumn="0" w:oddVBand="0" w:evenVBand="0" w:oddHBand="0" w:evenHBand="0" w:firstRowFirstColumn="0" w:firstRowLastColumn="0" w:lastRowFirstColumn="0" w:lastRowLastColumn="0"/>
        </w:trPr>
        <w:tc>
          <w:tcPr>
            <w:tcW w:w="583" w:type="pct"/>
          </w:tcPr>
          <w:p w14:paraId="34683741" w14:textId="77777777" w:rsidR="00CF12A3" w:rsidRPr="00084F87" w:rsidRDefault="00CF12A3">
            <w:pPr>
              <w:pStyle w:val="TableText"/>
            </w:pPr>
            <w:r w:rsidRPr="00084F87">
              <w:rPr>
                <w:lang w:val="en-US"/>
              </w:rPr>
              <w:t xml:space="preserve">Project </w:t>
            </w:r>
            <w:r>
              <w:rPr>
                <w:lang w:val="en-US"/>
              </w:rPr>
              <w:t>stage</w:t>
            </w:r>
          </w:p>
        </w:tc>
        <w:tc>
          <w:tcPr>
            <w:tcW w:w="994" w:type="pct"/>
          </w:tcPr>
          <w:p w14:paraId="1D1C78D4" w14:textId="77777777" w:rsidR="00CF12A3" w:rsidRPr="00084F87" w:rsidRDefault="00CF12A3">
            <w:pPr>
              <w:pStyle w:val="TableText"/>
              <w:jc w:val="center"/>
            </w:pPr>
            <w:r>
              <w:rPr>
                <w:lang w:val="en-US"/>
              </w:rPr>
              <w:t xml:space="preserve">Annual </w:t>
            </w:r>
            <w:r w:rsidRPr="00084F87">
              <w:rPr>
                <w:lang w:val="en-US"/>
              </w:rPr>
              <w:t>Project emissions (Mt CO</w:t>
            </w:r>
            <w:r w:rsidRPr="00084F87">
              <w:rPr>
                <w:vertAlign w:val="subscript"/>
                <w:lang w:val="en-US"/>
              </w:rPr>
              <w:t>2</w:t>
            </w:r>
            <w:r w:rsidRPr="00084F87">
              <w:rPr>
                <w:lang w:val="en-US"/>
              </w:rPr>
              <w:t>e/year)</w:t>
            </w:r>
          </w:p>
        </w:tc>
        <w:tc>
          <w:tcPr>
            <w:tcW w:w="813" w:type="pct"/>
          </w:tcPr>
          <w:p w14:paraId="68542A0A" w14:textId="77777777" w:rsidR="00CF12A3" w:rsidRPr="00084F87" w:rsidRDefault="00CF12A3">
            <w:pPr>
              <w:pStyle w:val="TableText"/>
              <w:jc w:val="center"/>
            </w:pPr>
            <w:r w:rsidRPr="00084F87">
              <w:rPr>
                <w:lang w:val="en-US"/>
              </w:rPr>
              <w:t>20</w:t>
            </w:r>
            <w:r>
              <w:rPr>
                <w:lang w:val="en-US"/>
              </w:rPr>
              <w:t xml:space="preserve">22 </w:t>
            </w:r>
            <w:r w:rsidRPr="00084F87">
              <w:rPr>
                <w:lang w:val="en-US"/>
              </w:rPr>
              <w:t>Victorian emissions (Mt CO</w:t>
            </w:r>
            <w:r w:rsidRPr="00084F87">
              <w:rPr>
                <w:vertAlign w:val="subscript"/>
                <w:lang w:val="en-US"/>
              </w:rPr>
              <w:t>2</w:t>
            </w:r>
            <w:r w:rsidRPr="00084F87">
              <w:rPr>
                <w:lang w:val="en-US"/>
              </w:rPr>
              <w:t>e/ year)</w:t>
            </w:r>
          </w:p>
        </w:tc>
        <w:tc>
          <w:tcPr>
            <w:tcW w:w="820" w:type="pct"/>
          </w:tcPr>
          <w:p w14:paraId="7FDDB757" w14:textId="77777777" w:rsidR="00CF12A3" w:rsidRPr="00084F87" w:rsidRDefault="00CF12A3">
            <w:pPr>
              <w:pStyle w:val="TableText"/>
              <w:jc w:val="center"/>
            </w:pPr>
            <w:r w:rsidRPr="00084F87">
              <w:rPr>
                <w:lang w:val="en-US"/>
              </w:rPr>
              <w:t>20</w:t>
            </w:r>
            <w:r>
              <w:rPr>
                <w:lang w:val="en-US"/>
              </w:rPr>
              <w:t>22</w:t>
            </w:r>
            <w:r w:rsidRPr="00084F87">
              <w:rPr>
                <w:lang w:val="en-US"/>
              </w:rPr>
              <w:t xml:space="preserve"> Australian emissions (Mt CO</w:t>
            </w:r>
            <w:r w:rsidRPr="00084F87">
              <w:rPr>
                <w:vertAlign w:val="subscript"/>
                <w:lang w:val="en-US"/>
              </w:rPr>
              <w:t>2</w:t>
            </w:r>
            <w:r w:rsidRPr="00084F87">
              <w:rPr>
                <w:lang w:val="en-US"/>
              </w:rPr>
              <w:t>e/ year)</w:t>
            </w:r>
          </w:p>
        </w:tc>
        <w:tc>
          <w:tcPr>
            <w:tcW w:w="891" w:type="pct"/>
          </w:tcPr>
          <w:p w14:paraId="77CF9284" w14:textId="77777777" w:rsidR="00CF12A3" w:rsidRPr="00084F87" w:rsidRDefault="00CF12A3">
            <w:pPr>
              <w:pStyle w:val="TableText"/>
              <w:jc w:val="center"/>
            </w:pPr>
            <w:r w:rsidRPr="00084F87">
              <w:rPr>
                <w:lang w:val="en-US"/>
              </w:rPr>
              <w:t>Contribution to Victorian annual emissions</w:t>
            </w:r>
          </w:p>
        </w:tc>
        <w:tc>
          <w:tcPr>
            <w:tcW w:w="899" w:type="pct"/>
          </w:tcPr>
          <w:p w14:paraId="7134D35A" w14:textId="77777777" w:rsidR="00CF12A3" w:rsidRPr="00084F87" w:rsidRDefault="00CF12A3">
            <w:pPr>
              <w:pStyle w:val="TableText"/>
              <w:jc w:val="center"/>
            </w:pPr>
            <w:r w:rsidRPr="00084F87">
              <w:rPr>
                <w:lang w:val="en-US"/>
              </w:rPr>
              <w:t>Contribution to Australian annual emissions</w:t>
            </w:r>
          </w:p>
        </w:tc>
      </w:tr>
      <w:tr w:rsidR="00CF12A3" w:rsidRPr="00084F87" w14:paraId="656F796C" w14:textId="77777777" w:rsidTr="00781F8A">
        <w:tc>
          <w:tcPr>
            <w:tcW w:w="583" w:type="pct"/>
            <w:vAlign w:val="center"/>
          </w:tcPr>
          <w:p w14:paraId="2FB6947A" w14:textId="77777777" w:rsidR="00CF12A3" w:rsidRPr="00084F87" w:rsidRDefault="00CF12A3">
            <w:pPr>
              <w:pStyle w:val="TableText"/>
            </w:pPr>
            <w:r>
              <w:rPr>
                <w:lang w:val="en-US"/>
              </w:rPr>
              <w:t>Operation</w:t>
            </w:r>
          </w:p>
        </w:tc>
        <w:tc>
          <w:tcPr>
            <w:tcW w:w="994" w:type="pct"/>
            <w:vAlign w:val="center"/>
          </w:tcPr>
          <w:p w14:paraId="0A6AE364" w14:textId="25A7E7BD" w:rsidR="00CF12A3" w:rsidRPr="00084F87" w:rsidRDefault="00E839CC">
            <w:pPr>
              <w:pStyle w:val="TableText"/>
              <w:jc w:val="center"/>
            </w:pPr>
            <w:r>
              <w:rPr>
                <w:bCs/>
                <w:lang w:val="en-US"/>
              </w:rPr>
              <w:t>0.0270 – 0.0003</w:t>
            </w:r>
          </w:p>
        </w:tc>
        <w:tc>
          <w:tcPr>
            <w:tcW w:w="813" w:type="pct"/>
            <w:vAlign w:val="center"/>
          </w:tcPr>
          <w:p w14:paraId="41A2295A" w14:textId="77777777" w:rsidR="00CF12A3" w:rsidRPr="00084F87" w:rsidRDefault="00CF12A3">
            <w:pPr>
              <w:pStyle w:val="TableText"/>
              <w:jc w:val="center"/>
            </w:pPr>
            <w:r>
              <w:rPr>
                <w:lang w:val="en-US"/>
              </w:rPr>
              <w:t>84.7</w:t>
            </w:r>
          </w:p>
        </w:tc>
        <w:tc>
          <w:tcPr>
            <w:tcW w:w="820" w:type="pct"/>
            <w:vAlign w:val="center"/>
          </w:tcPr>
          <w:p w14:paraId="05193A1D" w14:textId="77777777" w:rsidR="00CF12A3" w:rsidRPr="00084F87" w:rsidRDefault="00CF12A3">
            <w:pPr>
              <w:pStyle w:val="TableText"/>
              <w:jc w:val="center"/>
            </w:pPr>
            <w:r>
              <w:rPr>
                <w:lang w:val="en-US"/>
              </w:rPr>
              <w:t>432.6</w:t>
            </w:r>
          </w:p>
        </w:tc>
        <w:tc>
          <w:tcPr>
            <w:tcW w:w="891" w:type="pct"/>
            <w:vAlign w:val="center"/>
          </w:tcPr>
          <w:p w14:paraId="33D72AE6" w14:textId="49DD0422" w:rsidR="00CF12A3" w:rsidRPr="00084F87" w:rsidRDefault="00CF12A3">
            <w:pPr>
              <w:pStyle w:val="TableText"/>
              <w:jc w:val="center"/>
            </w:pPr>
            <w:r>
              <w:rPr>
                <w:lang w:val="en-US"/>
              </w:rPr>
              <w:t>0.0</w:t>
            </w:r>
            <w:r w:rsidR="00E839CC">
              <w:rPr>
                <w:lang w:val="en-US"/>
              </w:rPr>
              <w:t>3</w:t>
            </w:r>
            <w:r>
              <w:rPr>
                <w:lang w:val="en-US"/>
              </w:rPr>
              <w:t>% - &lt;0.01%</w:t>
            </w:r>
          </w:p>
        </w:tc>
        <w:tc>
          <w:tcPr>
            <w:tcW w:w="899" w:type="pct"/>
            <w:vAlign w:val="center"/>
          </w:tcPr>
          <w:p w14:paraId="60959484" w14:textId="3EF47A46" w:rsidR="00CF12A3" w:rsidRPr="00084F87" w:rsidRDefault="00CF12A3">
            <w:pPr>
              <w:pStyle w:val="TableText"/>
              <w:jc w:val="center"/>
            </w:pPr>
            <w:r>
              <w:rPr>
                <w:lang w:val="en-US"/>
              </w:rPr>
              <w:t>0.00</w:t>
            </w:r>
            <w:r w:rsidR="00E839CC">
              <w:rPr>
                <w:lang w:val="en-US"/>
              </w:rPr>
              <w:t>6</w:t>
            </w:r>
            <w:r>
              <w:rPr>
                <w:lang w:val="en-US"/>
              </w:rPr>
              <w:t>% - &lt;0.001%</w:t>
            </w:r>
          </w:p>
        </w:tc>
      </w:tr>
    </w:tbl>
    <w:p w14:paraId="00920C8A" w14:textId="08C40900" w:rsidR="00CF12A3" w:rsidRDefault="00D500CE" w:rsidP="00781F8A">
      <w:pPr>
        <w:spacing w:before="240"/>
      </w:pPr>
      <w:r w:rsidRPr="5F5F54A2">
        <w:t>T</w:t>
      </w:r>
      <w:r w:rsidR="00CF12A3" w:rsidRPr="5F5F54A2">
        <w:t>he measures described will facilitate a reduction in greenhouse gas emissions; however, some residual emissions will remain. Improving fuel efficiency during inspection and maintenance activities and choosing lower emission fuels provide the best opportunity for minimising residual impacts.</w:t>
      </w:r>
    </w:p>
    <w:p w14:paraId="60046C69" w14:textId="3DBEDF7E" w:rsidR="00CF12A3" w:rsidRPr="00CF12A3" w:rsidRDefault="00CF12A3" w:rsidP="00CF12A3">
      <w:r w:rsidRPr="5F5F54A2">
        <w:t xml:space="preserve">As the Project will facilitate the connection of renewable energy sources to energy </w:t>
      </w:r>
      <w:r w:rsidR="003C58E2" w:rsidRPr="5F5F54A2">
        <w:t>consumers</w:t>
      </w:r>
      <w:r w:rsidRPr="5F5F54A2">
        <w:t>, it is expected to contribute to its own emissions reduction, in addition to an overall reduction in greenhouse gas emissions from the national electricity grid.</w:t>
      </w:r>
    </w:p>
    <w:p w14:paraId="7A6CB327" w14:textId="23B75763" w:rsidR="00BA099B" w:rsidRDefault="00BA099B" w:rsidP="00AA58BC">
      <w:pPr>
        <w:pStyle w:val="Heading2"/>
      </w:pPr>
      <w:bookmarkStart w:id="46" w:name="_Toc182149095"/>
      <w:bookmarkStart w:id="47" w:name="_Toc182582729"/>
      <w:bookmarkStart w:id="48" w:name="_Toc201071047"/>
      <w:bookmarkEnd w:id="46"/>
      <w:r>
        <w:t>Decommissioning impact</w:t>
      </w:r>
      <w:r w:rsidR="009A129C">
        <w:t>s</w:t>
      </w:r>
      <w:bookmarkEnd w:id="47"/>
      <w:bookmarkEnd w:id="48"/>
      <w:r>
        <w:t xml:space="preserve"> </w:t>
      </w:r>
    </w:p>
    <w:p w14:paraId="4227AAD0" w14:textId="2F4C97A8" w:rsidR="00457D79" w:rsidRDefault="00457D79" w:rsidP="00A06137">
      <w:pPr>
        <w:keepLines/>
      </w:pPr>
      <w:r>
        <w:rPr>
          <w:lang w:val="en-GB"/>
        </w:rPr>
        <w:t xml:space="preserve">It is </w:t>
      </w:r>
      <w:bookmarkStart w:id="49" w:name="_Hlk175756807"/>
      <w:r>
        <w:rPr>
          <w:lang w:val="en-GB"/>
        </w:rPr>
        <w:t xml:space="preserve">difficult to </w:t>
      </w:r>
      <w:r w:rsidRPr="00CA770D">
        <w:rPr>
          <w:lang w:val="en-GB"/>
        </w:rPr>
        <w:t xml:space="preserve">predict the </w:t>
      </w:r>
      <w:r>
        <w:rPr>
          <w:lang w:val="en-GB"/>
        </w:rPr>
        <w:t xml:space="preserve">greenhouse gas </w:t>
      </w:r>
      <w:r w:rsidRPr="00CA770D">
        <w:rPr>
          <w:lang w:val="en-GB"/>
        </w:rPr>
        <w:t>emissions associated with decommissioning</w:t>
      </w:r>
      <w:r>
        <w:rPr>
          <w:lang w:val="en-GB"/>
        </w:rPr>
        <w:t xml:space="preserve">, given </w:t>
      </w:r>
      <w:r w:rsidRPr="00CA770D">
        <w:rPr>
          <w:lang w:val="en-GB"/>
        </w:rPr>
        <w:t xml:space="preserve">the </w:t>
      </w:r>
      <w:r w:rsidR="004D2054">
        <w:rPr>
          <w:lang w:val="en-GB"/>
        </w:rPr>
        <w:t xml:space="preserve">expected </w:t>
      </w:r>
      <w:r w:rsidRPr="00CA770D">
        <w:rPr>
          <w:lang w:val="en-GB"/>
        </w:rPr>
        <w:t xml:space="preserve">changes in technologies and policy </w:t>
      </w:r>
      <w:r>
        <w:rPr>
          <w:lang w:val="en-GB"/>
        </w:rPr>
        <w:t>that</w:t>
      </w:r>
      <w:r w:rsidRPr="00CA770D">
        <w:rPr>
          <w:lang w:val="en-GB"/>
        </w:rPr>
        <w:t xml:space="preserve"> </w:t>
      </w:r>
      <w:r>
        <w:rPr>
          <w:lang w:val="en-GB"/>
        </w:rPr>
        <w:t xml:space="preserve">are likely to have occurred by </w:t>
      </w:r>
      <w:r w:rsidRPr="00CA770D">
        <w:rPr>
          <w:lang w:val="en-GB"/>
        </w:rPr>
        <w:t xml:space="preserve">the time </w:t>
      </w:r>
      <w:r>
        <w:rPr>
          <w:lang w:val="en-GB"/>
        </w:rPr>
        <w:t xml:space="preserve">of the Project’s </w:t>
      </w:r>
      <w:r w:rsidRPr="00CA770D">
        <w:rPr>
          <w:lang w:val="en-GB"/>
        </w:rPr>
        <w:t>decommissioning</w:t>
      </w:r>
      <w:r>
        <w:rPr>
          <w:lang w:val="en-GB"/>
        </w:rPr>
        <w:t xml:space="preserve">. </w:t>
      </w:r>
      <w:bookmarkStart w:id="50" w:name="_Hlk175756598"/>
      <w:bookmarkEnd w:id="49"/>
      <w:r w:rsidR="002730EB">
        <w:t>T</w:t>
      </w:r>
      <w:r>
        <w:t xml:space="preserve">he activities to be undertaken for decommissioning </w:t>
      </w:r>
      <w:r w:rsidR="002730EB">
        <w:t xml:space="preserve">however </w:t>
      </w:r>
      <w:r>
        <w:t xml:space="preserve">are similar to </w:t>
      </w:r>
      <w:r w:rsidR="00016029">
        <w:t xml:space="preserve">the </w:t>
      </w:r>
      <w:r>
        <w:t>construction activities, which means that mitigation measures would be similar to those required for the construction stage (see Section</w:t>
      </w:r>
      <w:r w:rsidR="00F07FB6">
        <w:t xml:space="preserve"> </w:t>
      </w:r>
      <w:r w:rsidR="00F07FB6">
        <w:fldChar w:fldCharType="begin"/>
      </w:r>
      <w:r w:rsidR="00F07FB6">
        <w:instrText xml:space="preserve"> REF _Ref181087985 \r \h </w:instrText>
      </w:r>
      <w:r w:rsidR="00F07FB6">
        <w:fldChar w:fldCharType="separate"/>
      </w:r>
      <w:r w:rsidR="00880487">
        <w:t>26.4</w:t>
      </w:r>
      <w:r w:rsidR="00F07FB6">
        <w:fldChar w:fldCharType="end"/>
      </w:r>
      <w:r>
        <w:t>). A large portion of Project materials – including steel, concrete and aluminium – would be recycled and reused. This would have a positive greenhouse gas impact by supplanting some of the demand for these materials that otherwise could have been filled by newly produced (and more emissions intensive) materials.</w:t>
      </w:r>
      <w:bookmarkEnd w:id="50"/>
    </w:p>
    <w:p w14:paraId="7AA475FF" w14:textId="2F85E1FC" w:rsidR="00CC69F9" w:rsidRDefault="00D73CCD" w:rsidP="00CC69F9">
      <w:r w:rsidRPr="5F5F54A2">
        <w:t xml:space="preserve">Accordingly, the </w:t>
      </w:r>
      <w:r w:rsidR="00A9022B" w:rsidRPr="5F5F54A2">
        <w:t xml:space="preserve">EPRs </w:t>
      </w:r>
      <w:r w:rsidR="50F27995" w:rsidRPr="5F5F54A2">
        <w:t xml:space="preserve">developed to manage </w:t>
      </w:r>
      <w:r w:rsidRPr="5F5F54A2">
        <w:t>impacts</w:t>
      </w:r>
      <w:r w:rsidR="00AA1863" w:rsidRPr="5F5F54A2">
        <w:t xml:space="preserve"> during construction</w:t>
      </w:r>
      <w:r w:rsidRPr="5F5F54A2">
        <w:t xml:space="preserve"> would also be </w:t>
      </w:r>
      <w:r w:rsidR="001605BB" w:rsidRPr="5F5F54A2">
        <w:t>applicable</w:t>
      </w:r>
      <w:r w:rsidRPr="5F5F54A2">
        <w:t xml:space="preserve"> for decommissioning</w:t>
      </w:r>
      <w:r w:rsidR="001605BB" w:rsidRPr="5F5F54A2">
        <w:t xml:space="preserve"> </w:t>
      </w:r>
      <w:r w:rsidR="00AB515F" w:rsidRPr="5F5F54A2">
        <w:t>in accordance with the conditions of the time</w:t>
      </w:r>
      <w:r w:rsidRPr="5F5F54A2">
        <w:t xml:space="preserve">. </w:t>
      </w:r>
      <w:r w:rsidR="00B626AA" w:rsidRPr="5F5F54A2">
        <w:t>This would</w:t>
      </w:r>
      <w:r w:rsidR="009A129C" w:rsidRPr="5F5F54A2">
        <w:t xml:space="preserve"> also</w:t>
      </w:r>
      <w:r w:rsidR="00B626AA" w:rsidRPr="5F5F54A2">
        <w:t xml:space="preserve"> be managed by a Decommissioning Management Plan (EPR </w:t>
      </w:r>
      <w:r w:rsidR="00B135FE" w:rsidRPr="5F5F54A2">
        <w:t>EM</w:t>
      </w:r>
      <w:r w:rsidR="00BF5C18">
        <w:t>11</w:t>
      </w:r>
      <w:r w:rsidR="00B626AA" w:rsidRPr="5F5F54A2">
        <w:t xml:space="preserve">) </w:t>
      </w:r>
      <w:r w:rsidR="009A129C" w:rsidRPr="5F5F54A2">
        <w:t>which would</w:t>
      </w:r>
      <w:r w:rsidR="00B626AA" w:rsidRPr="5F5F54A2">
        <w:t xml:space="preserve"> </w:t>
      </w:r>
      <w:r w:rsidR="00157717" w:rsidRPr="5F5F54A2">
        <w:t xml:space="preserve">include mitigation measures </w:t>
      </w:r>
      <w:r w:rsidR="00FF0871" w:rsidRPr="5F5F54A2">
        <w:t xml:space="preserve">to minimise the </w:t>
      </w:r>
      <w:r w:rsidR="00B135FE" w:rsidRPr="5F5F54A2">
        <w:t xml:space="preserve">impact </w:t>
      </w:r>
      <w:r w:rsidR="00FF0871" w:rsidRPr="5F5F54A2">
        <w:t>of harm to human health or the environment of all activities associated with decommissioning</w:t>
      </w:r>
      <w:r w:rsidR="00B626AA" w:rsidRPr="5F5F54A2">
        <w:t>.</w:t>
      </w:r>
    </w:p>
    <w:p w14:paraId="32059216" w14:textId="7BBEEA8F" w:rsidR="00157717" w:rsidRPr="00E97AC8" w:rsidRDefault="00157717" w:rsidP="00CC69F9">
      <w:r w:rsidRPr="00157717">
        <w:t>Based on this, residual impacts are expected to be</w:t>
      </w:r>
      <w:r>
        <w:t xml:space="preserve"> </w:t>
      </w:r>
      <w:r w:rsidR="00720507">
        <w:t>moderate to negligible</w:t>
      </w:r>
      <w:r>
        <w:t xml:space="preserve"> for greenhouse gas</w:t>
      </w:r>
      <w:r w:rsidR="00903FDA">
        <w:t xml:space="preserve"> emissions.</w:t>
      </w:r>
    </w:p>
    <w:p w14:paraId="732A12C2" w14:textId="047A5C35" w:rsidR="00A12E33" w:rsidRDefault="00A12E33" w:rsidP="00CD04AF">
      <w:pPr>
        <w:pStyle w:val="Heading2"/>
      </w:pPr>
      <w:bookmarkStart w:id="51" w:name="_Toc182582730"/>
      <w:bookmarkStart w:id="52" w:name="_Toc201071048"/>
      <w:r>
        <w:t>Cumulative impacts</w:t>
      </w:r>
      <w:bookmarkEnd w:id="51"/>
      <w:bookmarkEnd w:id="52"/>
    </w:p>
    <w:p w14:paraId="422A9D35" w14:textId="63ABD4FE" w:rsidR="00E369F8" w:rsidRDefault="00E369F8" w:rsidP="007174AF">
      <w:r>
        <w:t>Unlike other cumulative impact considerations which typically have a localised impact around a project in question, greenhouse gas emissions contribute towards a global greenhouse gas impact. Hence, when considering cumulative greenhouse gas impacts</w:t>
      </w:r>
      <w:r w:rsidR="004D2054">
        <w:t xml:space="preserve"> of the Western Renewables Link Project</w:t>
      </w:r>
      <w:r>
        <w:t xml:space="preserve">, </w:t>
      </w:r>
      <w:r w:rsidR="00A247E5">
        <w:t>local</w:t>
      </w:r>
      <w:r w:rsidR="004D2054">
        <w:t xml:space="preserve"> projects </w:t>
      </w:r>
      <w:r>
        <w:t xml:space="preserve">are not </w:t>
      </w:r>
      <w:r w:rsidR="00F20AB1">
        <w:t xml:space="preserve">any </w:t>
      </w:r>
      <w:r>
        <w:t>more relevant than other greenhouse gas emitting projects across Victoria, Australia, or the world.</w:t>
      </w:r>
    </w:p>
    <w:p w14:paraId="26117D05" w14:textId="74F16C69" w:rsidR="00456CD4" w:rsidRDefault="00067738" w:rsidP="007174AF">
      <w:r w:rsidRPr="5F5F54A2">
        <w:t xml:space="preserve">A more relevant assessment of cumulative greenhouse gas impacts would be in the form of a comparison of </w:t>
      </w:r>
      <w:r w:rsidR="00B135FE" w:rsidRPr="5F5F54A2">
        <w:t xml:space="preserve">the Western Renewables Link </w:t>
      </w:r>
      <w:r w:rsidRPr="5F5F54A2">
        <w:t xml:space="preserve">Project emissions against Victorian and </w:t>
      </w:r>
      <w:r w:rsidR="00047621" w:rsidRPr="5F5F54A2">
        <w:t xml:space="preserve">Commonwealth </w:t>
      </w:r>
      <w:r w:rsidRPr="5F5F54A2">
        <w:t xml:space="preserve">greenhouse gas emissions. </w:t>
      </w:r>
      <w:r w:rsidR="004D2054" w:rsidRPr="5F5F54A2">
        <w:t xml:space="preserve">The </w:t>
      </w:r>
      <w:r w:rsidR="00C10EC9" w:rsidRPr="5F5F54A2">
        <w:t xml:space="preserve">greenhouse gas impacts </w:t>
      </w:r>
      <w:r w:rsidR="004D2054" w:rsidRPr="5F5F54A2">
        <w:t xml:space="preserve">from </w:t>
      </w:r>
      <w:r w:rsidR="00B135FE" w:rsidRPr="5F5F54A2">
        <w:t xml:space="preserve">the Western Renewables Link Project </w:t>
      </w:r>
      <w:r w:rsidR="00C10EC9" w:rsidRPr="5F5F54A2">
        <w:t xml:space="preserve">were assessed against recent data on Victorian and Commonwealth greenhouse gas emissions. At a state level, </w:t>
      </w:r>
      <w:r w:rsidR="00DA07D4" w:rsidRPr="5F5F54A2">
        <w:t>emission</w:t>
      </w:r>
      <w:r w:rsidR="00A803F8" w:rsidRPr="5F5F54A2">
        <w:t>s</w:t>
      </w:r>
      <w:r w:rsidR="00DA07D4" w:rsidRPr="5F5F54A2">
        <w:t xml:space="preserve"> from</w:t>
      </w:r>
      <w:r w:rsidR="00C10EC9" w:rsidRPr="5F5F54A2">
        <w:t xml:space="preserve"> </w:t>
      </w:r>
      <w:r w:rsidR="00C4003F" w:rsidRPr="5F5F54A2">
        <w:t xml:space="preserve">the Project </w:t>
      </w:r>
      <w:r w:rsidR="00DA07D4" w:rsidRPr="5F5F54A2">
        <w:t xml:space="preserve">were </w:t>
      </w:r>
      <w:r w:rsidR="00C10EC9" w:rsidRPr="5F5F54A2">
        <w:t>anticipated to constitute 0.3</w:t>
      </w:r>
      <w:r w:rsidR="00B135FE" w:rsidRPr="5F5F54A2">
        <w:t xml:space="preserve"> per cent </w:t>
      </w:r>
      <w:r w:rsidR="00C10EC9" w:rsidRPr="5F5F54A2">
        <w:t>of Victoria’s overall greenhouse gas emissions during construction, and less than 0.05</w:t>
      </w:r>
      <w:r w:rsidR="00B135FE" w:rsidRPr="5F5F54A2">
        <w:t xml:space="preserve"> per cent</w:t>
      </w:r>
      <w:r w:rsidR="00C10EC9" w:rsidRPr="5F5F54A2">
        <w:t xml:space="preserve"> in operation. At the federal level, </w:t>
      </w:r>
      <w:r w:rsidR="00B135FE" w:rsidRPr="5F5F54A2">
        <w:t xml:space="preserve">the Western Renewables Link Project </w:t>
      </w:r>
      <w:r w:rsidR="00C10EC9" w:rsidRPr="5F5F54A2">
        <w:t xml:space="preserve">will </w:t>
      </w:r>
      <w:r w:rsidR="005A7FE5" w:rsidRPr="5F5F54A2">
        <w:t>contr</w:t>
      </w:r>
      <w:r w:rsidR="008C18EB" w:rsidRPr="5F5F54A2">
        <w:t>i</w:t>
      </w:r>
      <w:r w:rsidR="005A7FE5" w:rsidRPr="5F5F54A2">
        <w:t xml:space="preserve">bute </w:t>
      </w:r>
      <w:r w:rsidR="00C10EC9" w:rsidRPr="5F5F54A2">
        <w:t>0.05</w:t>
      </w:r>
      <w:r w:rsidR="00B135FE" w:rsidRPr="5F5F54A2">
        <w:t xml:space="preserve"> per cent </w:t>
      </w:r>
      <w:r w:rsidR="00C10EC9" w:rsidRPr="5F5F54A2">
        <w:t>of Australia’s emissions in construction, and less than 0.009</w:t>
      </w:r>
      <w:r w:rsidR="00B135FE" w:rsidRPr="5F5F54A2">
        <w:t xml:space="preserve"> per cent</w:t>
      </w:r>
      <w:r w:rsidR="00C10EC9" w:rsidRPr="5F5F54A2">
        <w:t xml:space="preserve"> in operation. </w:t>
      </w:r>
    </w:p>
    <w:p w14:paraId="0A2894C6" w14:textId="0516DA9B" w:rsidR="00BA21C3" w:rsidRDefault="00C10EC9" w:rsidP="007174AF">
      <w:r>
        <w:lastRenderedPageBreak/>
        <w:t xml:space="preserve">As it is the </w:t>
      </w:r>
      <w:r w:rsidR="2C2BF76A">
        <w:t xml:space="preserve">purpose </w:t>
      </w:r>
      <w:r>
        <w:t xml:space="preserve">of </w:t>
      </w:r>
      <w:r w:rsidR="00B135FE">
        <w:t xml:space="preserve">the Western Renewables Link Project </w:t>
      </w:r>
      <w:r>
        <w:t xml:space="preserve">to increase the </w:t>
      </w:r>
      <w:r w:rsidR="015B2765">
        <w:t xml:space="preserve">supply </w:t>
      </w:r>
      <w:r>
        <w:t xml:space="preserve">of renewable energy by improving connectivity of renewable energy sources in western Victoria to the national grid, </w:t>
      </w:r>
      <w:r w:rsidR="00B135FE">
        <w:t>it</w:t>
      </w:r>
      <w:r w:rsidR="00162AA3">
        <w:t xml:space="preserve"> </w:t>
      </w:r>
      <w:r>
        <w:t>will actively contribut</w:t>
      </w:r>
      <w:r w:rsidR="1FBA1E05">
        <w:t>e</w:t>
      </w:r>
      <w:r>
        <w:t xml:space="preserve"> to a reduction in emissions across the grid, including emissions associated with its own electricity consumption. </w:t>
      </w:r>
    </w:p>
    <w:p w14:paraId="7AB16B6C" w14:textId="1E7D5FE7" w:rsidR="00C10EC9" w:rsidRDefault="00C10EC9" w:rsidP="007174AF">
      <w:r>
        <w:t>Given the generally low emissions</w:t>
      </w:r>
      <w:r w:rsidR="004D2054">
        <w:t xml:space="preserve"> from </w:t>
      </w:r>
      <w:r w:rsidR="00B135FE">
        <w:t xml:space="preserve">the Western Renewables Link </w:t>
      </w:r>
      <w:r w:rsidR="00B135FE" w:rsidRPr="00067738">
        <w:t xml:space="preserve">Project </w:t>
      </w:r>
      <w:r>
        <w:t xml:space="preserve">in comparison to the Victorian total emissions, </w:t>
      </w:r>
      <w:r w:rsidR="004D2054">
        <w:t xml:space="preserve">and </w:t>
      </w:r>
      <w:r w:rsidR="00712812">
        <w:t>its</w:t>
      </w:r>
      <w:r w:rsidR="00B135FE">
        <w:t xml:space="preserve"> </w:t>
      </w:r>
      <w:r>
        <w:t>contribution to</w:t>
      </w:r>
      <w:r w:rsidR="000266A6">
        <w:t>ward</w:t>
      </w:r>
      <w:r>
        <w:t xml:space="preserve"> reducing emissions across the grid, </w:t>
      </w:r>
      <w:r w:rsidR="00B135FE">
        <w:t xml:space="preserve">the Western Renewables Link </w:t>
      </w:r>
      <w:r w:rsidR="00B135FE" w:rsidRPr="00067738">
        <w:t xml:space="preserve">Project </w:t>
      </w:r>
      <w:r>
        <w:t xml:space="preserve">is in line with the requirements of the </w:t>
      </w:r>
      <w:r w:rsidRPr="00DF3155">
        <w:rPr>
          <w:i/>
          <w:iCs/>
        </w:rPr>
        <w:t>Climate Change Act 2017</w:t>
      </w:r>
      <w:r>
        <w:t xml:space="preserve"> </w:t>
      </w:r>
      <w:r w:rsidR="00B135FE">
        <w:t xml:space="preserve">(Vic) </w:t>
      </w:r>
      <w:r>
        <w:t>and aligns with the goals of the Commonwealth 2030 Emissions Reduction Target</w:t>
      </w:r>
      <w:r w:rsidR="00BE3655">
        <w:t>.</w:t>
      </w:r>
      <w:r w:rsidR="00B135FE">
        <w:t xml:space="preserve"> </w:t>
      </w:r>
    </w:p>
    <w:p w14:paraId="09343D42" w14:textId="462D6917" w:rsidR="00CD04AF" w:rsidRDefault="00CD04AF" w:rsidP="00CD04AF">
      <w:pPr>
        <w:pStyle w:val="Heading2"/>
      </w:pPr>
      <w:bookmarkStart w:id="53" w:name="_Ref184034652"/>
      <w:bookmarkStart w:id="54" w:name="_Toc182582731"/>
      <w:bookmarkStart w:id="55" w:name="_Toc201071049"/>
      <w:r>
        <w:t xml:space="preserve">Environmental </w:t>
      </w:r>
      <w:r w:rsidR="001641CD">
        <w:t>P</w:t>
      </w:r>
      <w:r w:rsidR="002D7696">
        <w:t xml:space="preserve">erformance </w:t>
      </w:r>
      <w:r w:rsidR="001641CD">
        <w:t>R</w:t>
      </w:r>
      <w:r w:rsidR="002D7696">
        <w:t>equirements</w:t>
      </w:r>
      <w:bookmarkEnd w:id="53"/>
      <w:bookmarkEnd w:id="54"/>
      <w:bookmarkEnd w:id="55"/>
    </w:p>
    <w:p w14:paraId="327D177C" w14:textId="35BE478E" w:rsidR="004C6B70" w:rsidRPr="008D0371" w:rsidRDefault="004D2054" w:rsidP="00781F8A">
      <w:pPr>
        <w:spacing w:after="240"/>
      </w:pPr>
      <w:r w:rsidRPr="5F5F54A2">
        <w:t xml:space="preserve">Potential impacts identified through </w:t>
      </w:r>
      <w:r w:rsidRPr="5F5F54A2">
        <w:rPr>
          <w:b/>
          <w:bCs/>
        </w:rPr>
        <w:t xml:space="preserve">Technical Report </w:t>
      </w:r>
      <w:r w:rsidR="00FE03EA" w:rsidRPr="5F5F54A2">
        <w:rPr>
          <w:b/>
          <w:bCs/>
        </w:rPr>
        <w:t>M</w:t>
      </w:r>
      <w:r w:rsidRPr="5F5F54A2">
        <w:rPr>
          <w:b/>
          <w:bCs/>
        </w:rPr>
        <w:t>: Greenhouse Gas Impact Assessment</w:t>
      </w:r>
      <w:r w:rsidRPr="5F5F54A2">
        <w:t xml:space="preserve"> have informed the development of EPRs for the Project. </w:t>
      </w:r>
      <w:r w:rsidR="009247E1" w:rsidRPr="5F5F54A2">
        <w:t xml:space="preserve">EPRs set out the environmental outcomes to be achieved through the implementation of mitigation measures during construction, operation and decommissioning. While some EPRs are performance based to allow flexibility in how they will be achieved, others include more prescriptive measures that must be implemented. Compliance with the EPRs will be required as a condition of the Project’s approval. </w:t>
      </w:r>
      <w:r w:rsidR="00794BBA" w:rsidRPr="001621F6">
        <w:fldChar w:fldCharType="begin"/>
      </w:r>
      <w:r w:rsidR="00794BBA" w:rsidRPr="001621F6">
        <w:instrText xml:space="preserve"> REF _Ref189742990 \h  \* MERGEFORMAT </w:instrText>
      </w:r>
      <w:r w:rsidR="00794BBA" w:rsidRPr="001621F6">
        <w:fldChar w:fldCharType="separate"/>
      </w:r>
      <w:r w:rsidR="00D261E5" w:rsidRPr="008D0371">
        <w:t xml:space="preserve">Table </w:t>
      </w:r>
      <w:r w:rsidR="00D261E5">
        <w:rPr>
          <w:noProof/>
        </w:rPr>
        <w:t>26.3</w:t>
      </w:r>
      <w:r w:rsidR="00794BBA" w:rsidRPr="001621F6">
        <w:fldChar w:fldCharType="end"/>
      </w:r>
      <w:r w:rsidR="00794BBA" w:rsidRPr="5F5F54A2">
        <w:t xml:space="preserve"> details the </w:t>
      </w:r>
      <w:r w:rsidRPr="5F5F54A2">
        <w:t xml:space="preserve">proposed </w:t>
      </w:r>
      <w:r w:rsidR="00184020" w:rsidRPr="5F5F54A2">
        <w:t xml:space="preserve">EPRs </w:t>
      </w:r>
      <w:r w:rsidR="00CD3D86">
        <w:t>developed for</w:t>
      </w:r>
      <w:r w:rsidR="00184020" w:rsidRPr="5F5F54A2">
        <w:t xml:space="preserve"> </w:t>
      </w:r>
      <w:r w:rsidR="006D395D" w:rsidRPr="5F5F54A2">
        <w:t>greenhouse gas</w:t>
      </w:r>
      <w:r w:rsidR="00184020" w:rsidRPr="5F5F54A2">
        <w:t>.</w:t>
      </w:r>
    </w:p>
    <w:p w14:paraId="03FABB81" w14:textId="12843D3E" w:rsidR="004C6B70" w:rsidRPr="001621F6" w:rsidRDefault="004C6B70" w:rsidP="00781F8A">
      <w:pPr>
        <w:pStyle w:val="Caption"/>
        <w:keepNext/>
        <w:spacing w:before="240"/>
      </w:pPr>
      <w:bookmarkStart w:id="56" w:name="_Ref189742990"/>
      <w:r w:rsidRPr="008D0371">
        <w:t xml:space="preserve">Table </w:t>
      </w:r>
      <w:fldSimple w:instr=" STYLEREF 1 \s ">
        <w:r w:rsidR="00880487">
          <w:rPr>
            <w:noProof/>
          </w:rPr>
          <w:t>26</w:t>
        </w:r>
      </w:fldSimple>
      <w:r w:rsidR="009F5AAF">
        <w:rPr>
          <w:noProof/>
        </w:rPr>
        <w:t>.</w:t>
      </w:r>
      <w:fldSimple w:instr=" SEQ Table \* ARABIC \s 1 ">
        <w:r w:rsidR="00880487">
          <w:rPr>
            <w:noProof/>
          </w:rPr>
          <w:t>3</w:t>
        </w:r>
      </w:fldSimple>
      <w:bookmarkEnd w:id="56"/>
      <w:r w:rsidR="00781F8A">
        <w:t xml:space="preserve"> </w:t>
      </w:r>
      <w:r w:rsidRPr="001621F6">
        <w:t>Environmental Performance Requirements</w:t>
      </w:r>
      <w:r w:rsidR="00763CE8">
        <w:t xml:space="preserve"> </w:t>
      </w:r>
    </w:p>
    <w:tbl>
      <w:tblPr>
        <w:tblStyle w:val="WVTTable2"/>
        <w:tblW w:w="5000" w:type="pct"/>
        <w:tblLook w:val="04A0" w:firstRow="1" w:lastRow="0" w:firstColumn="1" w:lastColumn="0" w:noHBand="0" w:noVBand="1"/>
      </w:tblPr>
      <w:tblGrid>
        <w:gridCol w:w="1134"/>
        <w:gridCol w:w="7936"/>
      </w:tblGrid>
      <w:tr w:rsidR="004C6B70" w:rsidRPr="008D0371" w14:paraId="68A95E1A" w14:textId="77777777" w:rsidTr="61E9D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44F7F3F8" w14:textId="77777777" w:rsidR="004C6B70" w:rsidRPr="001621F6" w:rsidRDefault="004C6B70" w:rsidP="00712812">
            <w:pPr>
              <w:pStyle w:val="TableText"/>
            </w:pPr>
            <w:r w:rsidRPr="001621F6">
              <w:t>EPR code</w:t>
            </w:r>
          </w:p>
        </w:tc>
        <w:tc>
          <w:tcPr>
            <w:tcW w:w="4375" w:type="pct"/>
          </w:tcPr>
          <w:p w14:paraId="77573C18" w14:textId="77777777" w:rsidR="004C6B70" w:rsidRPr="001621F6" w:rsidRDefault="004C6B70" w:rsidP="00712812">
            <w:pPr>
              <w:pStyle w:val="TableText"/>
              <w:cnfStyle w:val="100000000000" w:firstRow="1" w:lastRow="0" w:firstColumn="0" w:lastColumn="0" w:oddVBand="0" w:evenVBand="0" w:oddHBand="0" w:evenHBand="0" w:firstRowFirstColumn="0" w:firstRowLastColumn="0" w:lastRowFirstColumn="0" w:lastRowLastColumn="0"/>
            </w:pPr>
            <w:r w:rsidRPr="001621F6">
              <w:t>Requirement</w:t>
            </w:r>
          </w:p>
        </w:tc>
      </w:tr>
      <w:tr w:rsidR="004C6B70" w:rsidRPr="008D0371" w14:paraId="4AB811C2" w14:textId="77777777" w:rsidTr="61E9D65C">
        <w:tc>
          <w:tcPr>
            <w:cnfStyle w:val="001000000000" w:firstRow="0" w:lastRow="0" w:firstColumn="1" w:lastColumn="0" w:oddVBand="0" w:evenVBand="0" w:oddHBand="0" w:evenHBand="0" w:firstRowFirstColumn="0" w:firstRowLastColumn="0" w:lastRowFirstColumn="0" w:lastRowLastColumn="0"/>
            <w:tcW w:w="625" w:type="pct"/>
          </w:tcPr>
          <w:p w14:paraId="448BEF2D" w14:textId="3E742642" w:rsidR="004C6B70" w:rsidRPr="001621F6" w:rsidRDefault="0078260E" w:rsidP="00712812">
            <w:pPr>
              <w:pStyle w:val="TableText"/>
            </w:pPr>
            <w:r w:rsidRPr="001621F6">
              <w:t>EPR SG1</w:t>
            </w:r>
          </w:p>
        </w:tc>
        <w:tc>
          <w:tcPr>
            <w:tcW w:w="4375" w:type="pct"/>
          </w:tcPr>
          <w:p w14:paraId="10A54A91" w14:textId="4BA159C9" w:rsidR="00FF3865" w:rsidRPr="00712812" w:rsidRDefault="00766977" w:rsidP="00712812">
            <w:pPr>
              <w:pStyle w:val="TableText"/>
              <w:cnfStyle w:val="000000000000" w:firstRow="0" w:lastRow="0" w:firstColumn="0" w:lastColumn="0" w:oddVBand="0" w:evenVBand="0" w:oddHBand="0" w:evenHBand="0" w:firstRowFirstColumn="0" w:firstRowLastColumn="0" w:lastRowFirstColumn="0" w:lastRowLastColumn="0"/>
              <w:rPr>
                <w:b/>
              </w:rPr>
            </w:pPr>
            <w:r w:rsidRPr="00766977">
              <w:rPr>
                <w:b/>
              </w:rPr>
              <w:t>Develop and implement sustainability targets and a Sustainability Management Plan</w:t>
            </w:r>
          </w:p>
          <w:p w14:paraId="5F621F94" w14:textId="41B2F69E" w:rsidR="00934407" w:rsidRDefault="00934407" w:rsidP="00B64CB2">
            <w:pPr>
              <w:pStyle w:val="TableNumbers"/>
              <w:cnfStyle w:val="000000000000" w:firstRow="0" w:lastRow="0" w:firstColumn="0" w:lastColumn="0" w:oddVBand="0" w:evenVBand="0" w:oddHBand="0" w:evenHBand="0" w:firstRowFirstColumn="0" w:firstRowLastColumn="0" w:lastRowFirstColumn="0" w:lastRowLastColumn="0"/>
            </w:pPr>
            <w:r>
              <w:t>Develop and implement sustainability targets and specify ratings to reduce construction and operational greenhouse gas emissions.</w:t>
            </w:r>
          </w:p>
          <w:p w14:paraId="62C3A5A8" w14:textId="257B1ECE" w:rsidR="004C6B70" w:rsidRDefault="00934407" w:rsidP="002922A9">
            <w:pPr>
              <w:pStyle w:val="TableNumbers"/>
              <w:cnfStyle w:val="000000000000" w:firstRow="0" w:lastRow="0" w:firstColumn="0" w:lastColumn="0" w:oddVBand="0" w:evenVBand="0" w:oddHBand="0" w:evenHBand="0" w:firstRowFirstColumn="0" w:firstRowLastColumn="0" w:lastRowFirstColumn="0" w:lastRowLastColumn="0"/>
            </w:pPr>
            <w:r>
              <w:t>To aid in achieving the targets, the Principal Contractor must develop and implement a Construction Sustainability Management Plan</w:t>
            </w:r>
            <w:r w:rsidR="3D28F2BA">
              <w:t xml:space="preserve"> prior to the commencement of construction</w:t>
            </w:r>
            <w:r>
              <w:t xml:space="preserve"> and an Operational Sustainability Management Plan </w:t>
            </w:r>
            <w:r w:rsidR="3A7AF812">
              <w:t xml:space="preserve">prior to the commencement of operation </w:t>
            </w:r>
            <w:r>
              <w:t>that contain measures to meet the sustainability targets and specified ratings and include the requirement to monitor and report on the progress of achieving the sustainability targets and implementation of the Sustainability Management Plans. At a minimum, this will include:</w:t>
            </w:r>
          </w:p>
          <w:p w14:paraId="48349D5F" w14:textId="77777777" w:rsidR="00D75B92" w:rsidRDefault="00D75B92" w:rsidP="00781F8A">
            <w:pPr>
              <w:pStyle w:val="Tablenumbers2"/>
              <w:cnfStyle w:val="000000000000" w:firstRow="0" w:lastRow="0" w:firstColumn="0" w:lastColumn="0" w:oddVBand="0" w:evenVBand="0" w:oddHBand="0" w:evenHBand="0" w:firstRowFirstColumn="0" w:firstRowLastColumn="0" w:lastRowFirstColumn="0" w:lastRowLastColumn="0"/>
            </w:pPr>
            <w:r>
              <w:t>Measures to minimise fuel combustion where possible.</w:t>
            </w:r>
          </w:p>
          <w:p w14:paraId="25861AEF" w14:textId="333D1623" w:rsidR="00D75B92" w:rsidRDefault="00D75B92" w:rsidP="00781F8A">
            <w:pPr>
              <w:pStyle w:val="Tablenumbers2"/>
              <w:cnfStyle w:val="000000000000" w:firstRow="0" w:lastRow="0" w:firstColumn="0" w:lastColumn="0" w:oddVBand="0" w:evenVBand="0" w:oddHBand="0" w:evenHBand="0" w:firstRowFirstColumn="0" w:firstRowLastColumn="0" w:lastRowFirstColumn="0" w:lastRowLastColumn="0"/>
            </w:pPr>
            <w:r>
              <w:t xml:space="preserve">Adopting the waste management hierarchy in accordance with the </w:t>
            </w:r>
            <w:r w:rsidRPr="00B64CB2">
              <w:rPr>
                <w:i/>
                <w:iCs/>
              </w:rPr>
              <w:t>Environment Protection Act 2017.</w:t>
            </w:r>
          </w:p>
          <w:p w14:paraId="0D3434FE" w14:textId="5E888D5C" w:rsidR="00D75B92" w:rsidRDefault="00D75B92" w:rsidP="00781F8A">
            <w:pPr>
              <w:pStyle w:val="Tablenumbers2"/>
              <w:cnfStyle w:val="000000000000" w:firstRow="0" w:lastRow="0" w:firstColumn="0" w:lastColumn="0" w:oddVBand="0" w:evenVBand="0" w:oddHBand="0" w:evenHBand="0" w:firstRowFirstColumn="0" w:firstRowLastColumn="0" w:lastRowFirstColumn="0" w:lastRowLastColumn="0"/>
            </w:pPr>
            <w:r>
              <w:t>Vendors must adopt technology to minimise handling of sulfur hexafluoride (SF</w:t>
            </w:r>
            <w:r w:rsidRPr="00B64CB2">
              <w:rPr>
                <w:vertAlign w:val="subscript"/>
              </w:rPr>
              <w:t>6</w:t>
            </w:r>
            <w:r>
              <w:t>) during delivery and maximise the efficiency of SF</w:t>
            </w:r>
            <w:r w:rsidRPr="00B64CB2">
              <w:rPr>
                <w:vertAlign w:val="subscript"/>
              </w:rPr>
              <w:t>6</w:t>
            </w:r>
            <w:r>
              <w:t xml:space="preserve"> utilisation as far as </w:t>
            </w:r>
            <w:r w:rsidR="00B01BC2">
              <w:t xml:space="preserve">reasonably </w:t>
            </w:r>
            <w:r>
              <w:t>practicable when its use cannot be avoided.</w:t>
            </w:r>
          </w:p>
          <w:p w14:paraId="4763621F" w14:textId="525FC234" w:rsidR="002922A9" w:rsidRPr="00934407" w:rsidRDefault="00D75B92" w:rsidP="00781F8A">
            <w:pPr>
              <w:pStyle w:val="Tablenumbers2"/>
              <w:cnfStyle w:val="000000000000" w:firstRow="0" w:lastRow="0" w:firstColumn="0" w:lastColumn="0" w:oddVBand="0" w:evenVBand="0" w:oddHBand="0" w:evenHBand="0" w:firstRowFirstColumn="0" w:firstRowLastColumn="0" w:lastRowFirstColumn="0" w:lastRowLastColumn="0"/>
            </w:pPr>
            <w:r>
              <w:t>Measures to track and manage sulfur hexafluoride (SF</w:t>
            </w:r>
            <w:r w:rsidRPr="00B64CB2">
              <w:rPr>
                <w:vertAlign w:val="subscript"/>
              </w:rPr>
              <w:t>6</w:t>
            </w:r>
            <w:r>
              <w:t>) utilisation, including a leak detection and repair (LDAR) strategy to effectively detect and rapidly manage any SF</w:t>
            </w:r>
            <w:r w:rsidRPr="00B64CB2">
              <w:rPr>
                <w:vertAlign w:val="subscript"/>
              </w:rPr>
              <w:t>6</w:t>
            </w:r>
            <w:r>
              <w:t xml:space="preserve"> leaks.</w:t>
            </w:r>
          </w:p>
        </w:tc>
      </w:tr>
      <w:tr w:rsidR="004C6B70" w:rsidRPr="008D0371" w14:paraId="4499553D" w14:textId="77777777" w:rsidTr="61E9D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128E18CB" w14:textId="0E2EEF5B" w:rsidR="004C6B70" w:rsidRPr="001621F6" w:rsidRDefault="0078260E" w:rsidP="00712812">
            <w:pPr>
              <w:pStyle w:val="TableText"/>
            </w:pPr>
            <w:r w:rsidRPr="001621F6">
              <w:t>EPR SG2</w:t>
            </w:r>
          </w:p>
        </w:tc>
        <w:tc>
          <w:tcPr>
            <w:tcW w:w="4375" w:type="pct"/>
          </w:tcPr>
          <w:p w14:paraId="77ABC4F3" w14:textId="5187E16F" w:rsidR="00FF3865" w:rsidRPr="00712812" w:rsidRDefault="00FF3865" w:rsidP="00712812">
            <w:pPr>
              <w:pStyle w:val="TableText"/>
              <w:cnfStyle w:val="000000010000" w:firstRow="0" w:lastRow="0" w:firstColumn="0" w:lastColumn="0" w:oddVBand="0" w:evenVBand="0" w:oddHBand="0" w:evenHBand="1" w:firstRowFirstColumn="0" w:firstRowLastColumn="0" w:lastRowFirstColumn="0" w:lastRowLastColumn="0"/>
              <w:rPr>
                <w:b/>
              </w:rPr>
            </w:pPr>
            <w:r w:rsidRPr="00FF3865">
              <w:rPr>
                <w:b/>
              </w:rPr>
              <w:t>Consider environmentally sustainable design</w:t>
            </w:r>
          </w:p>
          <w:p w14:paraId="77BF0D80" w14:textId="25E59758" w:rsidR="00D575E7" w:rsidRDefault="00D575E7" w:rsidP="00B64CB2">
            <w:pPr>
              <w:pStyle w:val="TableNumbers"/>
              <w:numPr>
                <w:ilvl w:val="0"/>
                <w:numId w:val="17"/>
              </w:numPr>
              <w:cnfStyle w:val="000000010000" w:firstRow="0" w:lastRow="0" w:firstColumn="0" w:lastColumn="0" w:oddVBand="0" w:evenVBand="0" w:oddHBand="0" w:evenHBand="1" w:firstRowFirstColumn="0" w:firstRowLastColumn="0" w:lastRowFirstColumn="0" w:lastRowLastColumn="0"/>
            </w:pPr>
            <w:r>
              <w:t>Select and source materials in detailed design, and monitor energy and carbon use during construction, to reduce greenhouse gas emissions associated with materials and energy consumption as far as practicable.</w:t>
            </w:r>
          </w:p>
          <w:p w14:paraId="34F0C7E1" w14:textId="64E050D7" w:rsidR="004C6B70" w:rsidRDefault="00D575E7" w:rsidP="00B64CB2">
            <w:pPr>
              <w:pStyle w:val="TableNumbers"/>
              <w:cnfStyle w:val="000000010000" w:firstRow="0" w:lastRow="0" w:firstColumn="0" w:lastColumn="0" w:oddVBand="0" w:evenVBand="0" w:oddHBand="0" w:evenHBand="1" w:firstRowFirstColumn="0" w:firstRowLastColumn="0" w:lastRowFirstColumn="0" w:lastRowLastColumn="0"/>
            </w:pPr>
            <w:r>
              <w:t>Investigate, document and implement opportunities to use green power sourced from renewable energy and bio diesel where practicable.</w:t>
            </w:r>
          </w:p>
          <w:p w14:paraId="7059EB00" w14:textId="404469C7" w:rsidR="00D575E7" w:rsidRPr="001621F6" w:rsidRDefault="00D575E7" w:rsidP="00B64CB2">
            <w:pPr>
              <w:pStyle w:val="TableNumbers"/>
              <w:cnfStyle w:val="000000010000" w:firstRow="0" w:lastRow="0" w:firstColumn="0" w:lastColumn="0" w:oddVBand="0" w:evenVBand="0" w:oddHBand="0" w:evenHBand="1" w:firstRowFirstColumn="0" w:firstRowLastColumn="0" w:lastRowFirstColumn="0" w:lastRowLastColumn="0"/>
            </w:pPr>
            <w:r>
              <w:t>Integrate sustainable design practices into the design process to minimise, to the extent practicable, greenhouse gas emissions arising from construction, operations and maintenance of the Project in line with the ratings and targets selected as part of SG1.</w:t>
            </w:r>
          </w:p>
        </w:tc>
      </w:tr>
    </w:tbl>
    <w:p w14:paraId="2C98D668" w14:textId="606AB793" w:rsidR="003954E2" w:rsidRDefault="003D28BC" w:rsidP="00D261E5">
      <w:pPr>
        <w:spacing w:before="240"/>
      </w:pPr>
      <w:r>
        <w:t>Ano</w:t>
      </w:r>
      <w:r w:rsidR="0008093F" w:rsidRPr="0008093F">
        <w:t>ther EPR contribute</w:t>
      </w:r>
      <w:r>
        <w:t>s</w:t>
      </w:r>
      <w:r w:rsidR="0008093F" w:rsidRPr="0008093F">
        <w:t xml:space="preserve"> to a reduction in the magnitude, extent and duration of impacts for </w:t>
      </w:r>
      <w:r>
        <w:t>greenhouse gas</w:t>
      </w:r>
      <w:r w:rsidR="0008093F" w:rsidRPr="0008093F">
        <w:t xml:space="preserve">: </w:t>
      </w:r>
      <w:r w:rsidR="002E507B">
        <w:t xml:space="preserve">EPR EM11 – </w:t>
      </w:r>
      <w:r w:rsidR="002E507B" w:rsidRPr="002E507B">
        <w:t>Develop and implement a Decommissioning Management Plan</w:t>
      </w:r>
      <w:r w:rsidR="00B475D5">
        <w:t>.</w:t>
      </w:r>
      <w:r w:rsidR="00022D2A">
        <w:t xml:space="preserve"> </w:t>
      </w:r>
      <w:r w:rsidR="00022D2A" w:rsidRPr="00022D2A">
        <w:t xml:space="preserve">Refer to </w:t>
      </w:r>
      <w:r w:rsidR="00022D2A" w:rsidRPr="00022D2A">
        <w:rPr>
          <w:b/>
          <w:bCs/>
        </w:rPr>
        <w:t>Chapter 29: Environmental Management Framework</w:t>
      </w:r>
      <w:r w:rsidR="00022D2A" w:rsidRPr="00022D2A">
        <w:t xml:space="preserve"> for full detail of th</w:t>
      </w:r>
      <w:r w:rsidR="00022D2A">
        <w:t>is</w:t>
      </w:r>
      <w:r w:rsidR="00022D2A" w:rsidRPr="00022D2A">
        <w:t xml:space="preserve"> EPR.</w:t>
      </w:r>
    </w:p>
    <w:p w14:paraId="12ECB4BE" w14:textId="4B37893D" w:rsidR="00CD04AF" w:rsidRPr="008D0371" w:rsidRDefault="00EE31AA" w:rsidP="001E5312">
      <w:pPr>
        <w:keepNext/>
        <w:keepLines/>
        <w:spacing w:before="240"/>
      </w:pPr>
      <w:r w:rsidRPr="5F5F54A2">
        <w:lastRenderedPageBreak/>
        <w:t xml:space="preserve">As a corporation registered under the </w:t>
      </w:r>
      <w:r w:rsidR="004B163E" w:rsidRPr="5F5F54A2">
        <w:rPr>
          <w:i/>
          <w:iCs/>
        </w:rPr>
        <w:t xml:space="preserve">National Greenhouse and Energy Reporting </w:t>
      </w:r>
      <w:r w:rsidRPr="5F5F54A2">
        <w:rPr>
          <w:i/>
          <w:iCs/>
        </w:rPr>
        <w:t>Act</w:t>
      </w:r>
      <w:r w:rsidR="009705ED" w:rsidRPr="5F5F54A2">
        <w:rPr>
          <w:i/>
          <w:iCs/>
        </w:rPr>
        <w:t xml:space="preserve"> 2007</w:t>
      </w:r>
      <w:r w:rsidR="009705ED" w:rsidRPr="5F5F54A2">
        <w:t xml:space="preserve"> (NGER Act)</w:t>
      </w:r>
      <w:r w:rsidRPr="5F5F54A2">
        <w:t>, AusNet will follow the NGER guidelines for monitoring and reporting of emissions produced by the Project. Additionally, in accordance with guidance from the</w:t>
      </w:r>
      <w:r w:rsidR="005571FA" w:rsidRPr="5F5F54A2">
        <w:t xml:space="preserve"> Environment Protection Authority (EPA) Victoria,</w:t>
      </w:r>
      <w:r w:rsidRPr="5F5F54A2">
        <w:t xml:space="preserve"> reporting of Scope 1 and Scope 2 emissions </w:t>
      </w:r>
      <w:r w:rsidR="004D2054" w:rsidRPr="5F5F54A2">
        <w:t xml:space="preserve">will </w:t>
      </w:r>
      <w:r w:rsidRPr="5F5F54A2">
        <w:t xml:space="preserve">be carried out on a quarterly basis instead of an annual basis during construction, and the reporting </w:t>
      </w:r>
      <w:r w:rsidR="009705ED" w:rsidRPr="5F5F54A2">
        <w:t xml:space="preserve">will </w:t>
      </w:r>
      <w:r w:rsidRPr="5F5F54A2">
        <w:t>be made publicly available on the Project website. This reporting and the associated requirements would form part of the Project</w:t>
      </w:r>
      <w:r w:rsidR="004B163E" w:rsidRPr="5F5F54A2">
        <w:t xml:space="preserve"> Construction Environmental Management Plan</w:t>
      </w:r>
      <w:r w:rsidR="00AB6990" w:rsidRPr="5F5F54A2">
        <w:t>.</w:t>
      </w:r>
    </w:p>
    <w:p w14:paraId="73DCBE29" w14:textId="4DB24F52" w:rsidR="00973728" w:rsidRDefault="004D2054" w:rsidP="00781F8A">
      <w:pPr>
        <w:keepNext/>
        <w:keepLines/>
      </w:pPr>
      <w:r w:rsidRPr="008D0371">
        <w:t xml:space="preserve">The </w:t>
      </w:r>
      <w:r w:rsidR="007D19D3">
        <w:t>objectives of proposed monitoring</w:t>
      </w:r>
      <w:r w:rsidR="007D19D3" w:rsidRPr="008D0371">
        <w:t xml:space="preserve"> </w:t>
      </w:r>
      <w:r w:rsidRPr="008D0371">
        <w:t xml:space="preserve">programs for the Project </w:t>
      </w:r>
      <w:r w:rsidR="007D19D3">
        <w:t xml:space="preserve">required by the </w:t>
      </w:r>
      <w:r w:rsidR="00A001D6" w:rsidRPr="008D0371">
        <w:t xml:space="preserve">EPRs </w:t>
      </w:r>
      <w:r w:rsidRPr="008D0371">
        <w:t xml:space="preserve">are </w:t>
      </w:r>
      <w:r w:rsidR="007D19D3">
        <w:t xml:space="preserve">outlined </w:t>
      </w:r>
      <w:r w:rsidRPr="005D79C7">
        <w:t xml:space="preserve">in </w:t>
      </w:r>
      <w:r w:rsidRPr="005D79C7">
        <w:rPr>
          <w:b/>
          <w:bCs/>
        </w:rPr>
        <w:t xml:space="preserve">Chapter </w:t>
      </w:r>
      <w:r>
        <w:rPr>
          <w:b/>
          <w:bCs/>
        </w:rPr>
        <w:t>29</w:t>
      </w:r>
      <w:r w:rsidRPr="005D79C7">
        <w:rPr>
          <w:b/>
          <w:bCs/>
        </w:rPr>
        <w:t>: Environmental Management Framework.</w:t>
      </w:r>
      <w:bookmarkStart w:id="57" w:name="_Toc182582732"/>
      <w:r w:rsidR="00B135FE">
        <w:t xml:space="preserve"> </w:t>
      </w:r>
    </w:p>
    <w:p w14:paraId="003F42DD" w14:textId="27E6F4E7" w:rsidR="00EC151C" w:rsidRDefault="00497DF6" w:rsidP="00712812">
      <w:pPr>
        <w:pStyle w:val="Heading2"/>
      </w:pPr>
      <w:bookmarkStart w:id="58" w:name="_Toc201071050"/>
      <w:r>
        <w:t>Summary of r</w:t>
      </w:r>
      <w:r w:rsidR="0050646D">
        <w:t>esidual impacts</w:t>
      </w:r>
      <w:bookmarkEnd w:id="57"/>
      <w:bookmarkEnd w:id="58"/>
      <w:r w:rsidR="0050646D">
        <w:t xml:space="preserve"> </w:t>
      </w:r>
    </w:p>
    <w:p w14:paraId="3AA2460C" w14:textId="4852478D" w:rsidR="00115BF9" w:rsidRDefault="004D2054" w:rsidP="00115BF9">
      <w:r w:rsidRPr="5F5F54A2">
        <w:t xml:space="preserve">With the </w:t>
      </w:r>
      <w:r w:rsidR="007D19D3">
        <w:t>application of the</w:t>
      </w:r>
      <w:r w:rsidRPr="5F5F54A2">
        <w:t xml:space="preserve"> EPRs</w:t>
      </w:r>
      <w:r w:rsidR="00115BF9" w:rsidRPr="5F5F54A2">
        <w:t xml:space="preserve">, residual impacts associated with greenhouse gas </w:t>
      </w:r>
      <w:r w:rsidR="00470B1F" w:rsidRPr="5F5F54A2">
        <w:t>are</w:t>
      </w:r>
      <w:r w:rsidR="00115BF9" w:rsidRPr="5F5F54A2">
        <w:t xml:space="preserve"> moderate to negligible</w:t>
      </w:r>
      <w:r w:rsidR="007D19D3">
        <w:t>:</w:t>
      </w:r>
    </w:p>
    <w:p w14:paraId="7FCA8B7C" w14:textId="2385CB0E" w:rsidR="00CC06AA" w:rsidRDefault="004D2054" w:rsidP="003F6219">
      <w:pPr>
        <w:pStyle w:val="ListBullet"/>
      </w:pPr>
      <w:r w:rsidRPr="5F5F54A2">
        <w:t xml:space="preserve">Residual greenhouse gas emissions during construction will primarily be due to embedded emissions from construction materials. A leading practice reduction in construction greenhouse </w:t>
      </w:r>
      <w:r w:rsidR="00386761" w:rsidRPr="5F5F54A2">
        <w:t xml:space="preserve">gas </w:t>
      </w:r>
      <w:r w:rsidRPr="5F5F54A2">
        <w:t>emissions, as defined by the Infrastructure Sustainability Council, reduces emissions by 30</w:t>
      </w:r>
      <w:r w:rsidR="00B135FE" w:rsidRPr="5F5F54A2">
        <w:t xml:space="preserve"> per cent</w:t>
      </w:r>
      <w:r w:rsidRPr="5F5F54A2">
        <w:t>.</w:t>
      </w:r>
      <w:r w:rsidR="00D706D1" w:rsidRPr="5F5F54A2">
        <w:t xml:space="preserve"> </w:t>
      </w:r>
      <w:r w:rsidR="00CC06AA" w:rsidRPr="5F5F54A2">
        <w:t>Residual Scope 1 and Scope 2 greenhouse gas emissions will be greater than 25 kilotonnes CO</w:t>
      </w:r>
      <w:r w:rsidR="00CC06AA" w:rsidRPr="5F5F54A2">
        <w:rPr>
          <w:vertAlign w:val="subscript"/>
        </w:rPr>
        <w:t>2</w:t>
      </w:r>
      <w:r w:rsidR="00CC06AA" w:rsidRPr="5F5F54A2">
        <w:t xml:space="preserve">e, and hence the residual impacts </w:t>
      </w:r>
      <w:r w:rsidR="00385DC8" w:rsidRPr="5F5F54A2">
        <w:t xml:space="preserve">will </w:t>
      </w:r>
      <w:r w:rsidR="00CC06AA" w:rsidRPr="5F5F54A2">
        <w:t>remain moderate.</w:t>
      </w:r>
    </w:p>
    <w:p w14:paraId="4D7D401A" w14:textId="06221907" w:rsidR="00385DC8" w:rsidRPr="00385DC8" w:rsidRDefault="00385DC8" w:rsidP="00385DC8">
      <w:pPr>
        <w:pStyle w:val="ListBullet"/>
      </w:pPr>
      <w:r w:rsidRPr="5F5F54A2">
        <w:t>Residual greenhouse gas emissions during operation will primarily be from electricity consumption from the grid, SF</w:t>
      </w:r>
      <w:r w:rsidRPr="00712812">
        <w:rPr>
          <w:vertAlign w:val="subscript"/>
        </w:rPr>
        <w:t>6</w:t>
      </w:r>
      <w:r w:rsidRPr="5F5F54A2">
        <w:t xml:space="preserve"> leakage from circuit breakers in terminal stations, and fuel usage for maintenance and inspection vehicles. As the Project will increase the connectivity of renewable energy sources to the national electricity grid, it is actively contributing to the reduction of emissions across the grid and of its own emissions. Other actions, such as maintaining a proactive approach to SF</w:t>
      </w:r>
      <w:r w:rsidRPr="001E3681">
        <w:rPr>
          <w:vertAlign w:val="subscript"/>
        </w:rPr>
        <w:t>6</w:t>
      </w:r>
      <w:r w:rsidRPr="5F5F54A2">
        <w:t xml:space="preserve"> management, and using low emission and/or electric vehicles during inspection and maintenance activities will provide the best opportunity to minimise residual impacts. Residual Scope 1 and Scope 2 greenhouse gas impacts in the initial year will likely remain greater than 25</w:t>
      </w:r>
      <w:r w:rsidR="00B135FE" w:rsidRPr="5F5F54A2">
        <w:t xml:space="preserve"> </w:t>
      </w:r>
      <w:r w:rsidRPr="5F5F54A2">
        <w:t>kilotonnes CO</w:t>
      </w:r>
      <w:r w:rsidRPr="00712812">
        <w:rPr>
          <w:vertAlign w:val="subscript"/>
        </w:rPr>
        <w:t>2e</w:t>
      </w:r>
      <w:r w:rsidRPr="5F5F54A2">
        <w:t xml:space="preserve"> and have a moderate residual impact. As the grid continues to undergo decarbonisation, the impact will reduce to minor.</w:t>
      </w:r>
    </w:p>
    <w:p w14:paraId="3C21CC0B" w14:textId="4EA43C7A" w:rsidR="00821761" w:rsidRDefault="00821761" w:rsidP="003F6219">
      <w:pPr>
        <w:pStyle w:val="ListBullet"/>
      </w:pPr>
      <w:r w:rsidRPr="00821761">
        <w:t xml:space="preserve">Residual impacts to </w:t>
      </w:r>
      <w:r>
        <w:t>greenhouse gas emissions</w:t>
      </w:r>
      <w:r w:rsidRPr="00821761">
        <w:t xml:space="preserve"> during decommissioning </w:t>
      </w:r>
      <w:r w:rsidR="00626B3F">
        <w:t xml:space="preserve">will be </w:t>
      </w:r>
      <w:r w:rsidR="00A01AEF">
        <w:t>dependent on the changes in technologies and policy likely to occur prior to the Project’s decommissioning. However</w:t>
      </w:r>
      <w:r w:rsidRPr="00821761">
        <w:t>, EPRs developed to manage impacts during construction will also be applicable for decommissioning and will be incorporated into the Decommissioning Management Plan.</w:t>
      </w:r>
    </w:p>
    <w:p w14:paraId="7A6912B7" w14:textId="6E77547F" w:rsidR="006B28AE" w:rsidRDefault="7852FAF6" w:rsidP="002B4BF5">
      <w:pPr>
        <w:rPr>
          <w:i/>
          <w:iCs/>
        </w:rPr>
      </w:pPr>
      <w:r w:rsidRPr="5F5F54A2">
        <w:t xml:space="preserve">With the implementation of measures to comply with EPRs, it is considered that the </w:t>
      </w:r>
      <w:r w:rsidR="008912D0" w:rsidRPr="5F5F54A2">
        <w:t xml:space="preserve">Project </w:t>
      </w:r>
      <w:r w:rsidRPr="5F5F54A2">
        <w:t>meets the</w:t>
      </w:r>
      <w:r w:rsidR="00636469">
        <w:t xml:space="preserve"> greenhouse gas aspects </w:t>
      </w:r>
      <w:r w:rsidR="00E84B2A">
        <w:t xml:space="preserve">of the </w:t>
      </w:r>
      <w:r w:rsidRPr="5F5F54A2">
        <w:t xml:space="preserve">evaluation objective </w:t>
      </w:r>
      <w:r w:rsidR="00E84B2A">
        <w:t>“</w:t>
      </w:r>
      <w:r w:rsidR="00CD42CB" w:rsidRPr="00712812">
        <w:rPr>
          <w:i/>
          <w:iCs/>
        </w:rPr>
        <w:t xml:space="preserve">Avoid, or minimise </w:t>
      </w:r>
      <w:r w:rsidR="00712812" w:rsidRPr="00712812">
        <w:rPr>
          <w:i/>
          <w:iCs/>
        </w:rPr>
        <w:t>wher</w:t>
      </w:r>
      <w:r w:rsidR="00712812" w:rsidRPr="5F5F54A2">
        <w:rPr>
          <w:i/>
          <w:iCs/>
        </w:rPr>
        <w:t>e</w:t>
      </w:r>
      <w:r w:rsidR="00CD42CB" w:rsidRPr="00712812">
        <w:rPr>
          <w:i/>
          <w:iCs/>
        </w:rPr>
        <w:t xml:space="preserve"> avoidance is not possible, adverse effects for community amenity, health and safety, with regard to construction noise, vibration, dust, lighting, waste, greenhouse gas emissions, transport network, operational noise, fire risk management and electromagnetic radiatio</w:t>
      </w:r>
      <w:r w:rsidR="00E84B2A">
        <w:rPr>
          <w:i/>
          <w:iCs/>
        </w:rPr>
        <w:t>n</w:t>
      </w:r>
      <w:r w:rsidR="00781FC5">
        <w:rPr>
          <w:i/>
          <w:iCs/>
        </w:rPr>
        <w:t>.</w:t>
      </w:r>
      <w:r w:rsidR="00E84B2A">
        <w:rPr>
          <w:i/>
          <w:iCs/>
        </w:rPr>
        <w:t>”</w:t>
      </w:r>
    </w:p>
    <w:p w14:paraId="72F17842" w14:textId="77777777" w:rsidR="006B28AE" w:rsidRDefault="006B28AE">
      <w:pPr>
        <w:spacing w:after="160"/>
        <w:rPr>
          <w:i/>
          <w:iCs/>
        </w:rPr>
      </w:pPr>
      <w:r>
        <w:rPr>
          <w:i/>
          <w:iCs/>
        </w:rPr>
        <w:br w:type="page"/>
      </w:r>
    </w:p>
    <w:p w14:paraId="0347A450" w14:textId="3877A825" w:rsidR="000E21B9" w:rsidRPr="006E2F63" w:rsidRDefault="006B28AE" w:rsidP="002B4BF5">
      <w:r>
        <w:rPr>
          <w:noProof/>
        </w:rPr>
        <w:lastRenderedPageBreak/>
        <w:drawing>
          <wp:anchor distT="0" distB="0" distL="114300" distR="114300" simplePos="0" relativeHeight="251658241" behindDoc="0" locked="0" layoutInCell="1" allowOverlap="1" wp14:anchorId="617A74B2" wp14:editId="374326D2">
            <wp:simplePos x="0" y="0"/>
            <wp:positionH relativeFrom="column">
              <wp:posOffset>-881380</wp:posOffset>
            </wp:positionH>
            <wp:positionV relativeFrom="paragraph">
              <wp:posOffset>-890905</wp:posOffset>
            </wp:positionV>
            <wp:extent cx="7535456" cy="10658475"/>
            <wp:effectExtent l="0" t="0" r="8890" b="0"/>
            <wp:wrapNone/>
            <wp:docPr id="953424120" name="Picture 16"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24120" name="Picture 16" descr="A close-up of a letter&#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44005" cy="10670567"/>
                    </a:xfrm>
                    <a:prstGeom prst="rect">
                      <a:avLst/>
                    </a:prstGeom>
                  </pic:spPr>
                </pic:pic>
              </a:graphicData>
            </a:graphic>
            <wp14:sizeRelH relativeFrom="margin">
              <wp14:pctWidth>0</wp14:pctWidth>
            </wp14:sizeRelH>
            <wp14:sizeRelV relativeFrom="margin">
              <wp14:pctHeight>0</wp14:pctHeight>
            </wp14:sizeRelV>
          </wp:anchor>
        </w:drawing>
      </w:r>
    </w:p>
    <w:sectPr w:rsidR="000E21B9" w:rsidRPr="006E2F63" w:rsidSect="00621EC2">
      <w:headerReference w:type="even" r:id="rId27"/>
      <w:footerReference w:type="even" r:id="rId28"/>
      <w:footerReference w:type="default" r:id="rId29"/>
      <w:headerReference w:type="first" r:id="rId30"/>
      <w:footerReference w:type="first" r:id="rId31"/>
      <w:pgSz w:w="11906" w:h="16838" w:code="9"/>
      <w:pgMar w:top="1418" w:right="1418" w:bottom="1418" w:left="1418" w:header="1134" w:footer="340" w:gutter="0"/>
      <w:pgNumType w:chapStyle="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37B4" w14:textId="77777777" w:rsidR="00A14F8F" w:rsidRDefault="00A14F8F" w:rsidP="00CC6183">
      <w:r>
        <w:separator/>
      </w:r>
    </w:p>
  </w:endnote>
  <w:endnote w:type="continuationSeparator" w:id="0">
    <w:p w14:paraId="0D5F25DA" w14:textId="77777777" w:rsidR="00A14F8F" w:rsidRDefault="00A14F8F" w:rsidP="00CC6183">
      <w:r>
        <w:continuationSeparator/>
      </w:r>
    </w:p>
  </w:endnote>
  <w:endnote w:type="continuationNotice" w:id="1">
    <w:p w14:paraId="0E27FBD8" w14:textId="77777777" w:rsidR="00A14F8F" w:rsidRDefault="00A14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Jacobs Chronos">
    <w:altName w:val="Calibri"/>
    <w:charset w:val="00"/>
    <w:family w:val="swiss"/>
    <w:pitch w:val="variable"/>
    <w:sig w:usb0="A00000EF" w:usb1="0000E0EB" w:usb2="00000008"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A972" w14:textId="416C54DF" w:rsidR="00E276CC" w:rsidRDefault="00A811E9" w:rsidP="00E276CC">
    <w:pPr>
      <w:pStyle w:val="FooterLeft"/>
      <w:framePr w:wrap="around"/>
    </w:pPr>
    <w:r>
      <w:rPr>
        <w:noProof/>
      </w:rPr>
      <mc:AlternateContent>
        <mc:Choice Requires="wps">
          <w:drawing>
            <wp:anchor distT="0" distB="0" distL="0" distR="0" simplePos="0" relativeHeight="251658242" behindDoc="0" locked="0" layoutInCell="1" allowOverlap="1" wp14:anchorId="51CD881A" wp14:editId="015C3FB9">
              <wp:simplePos x="635" y="635"/>
              <wp:positionH relativeFrom="page">
                <wp:align>center</wp:align>
              </wp:positionH>
              <wp:positionV relativeFrom="page">
                <wp:align>bottom</wp:align>
              </wp:positionV>
              <wp:extent cx="622935" cy="307975"/>
              <wp:effectExtent l="0" t="0" r="5715" b="0"/>
              <wp:wrapNone/>
              <wp:docPr id="88315546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935" cy="307975"/>
                      </a:xfrm>
                      <a:prstGeom prst="rect">
                        <a:avLst/>
                      </a:prstGeom>
                      <a:noFill/>
                      <a:ln>
                        <a:noFill/>
                      </a:ln>
                    </wps:spPr>
                    <wps:txbx>
                      <w:txbxContent>
                        <w:p w14:paraId="5C65EC28" w14:textId="4D219951"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D881A" id="_x0000_t202" coordsize="21600,21600" o:spt="202" path="m,l,21600r21600,l21600,xe">
              <v:stroke joinstyle="miter"/>
              <v:path gradientshapeok="t" o:connecttype="rect"/>
            </v:shapetype>
            <v:shape id="_x0000_s1027" type="#_x0000_t202" alt="CONFIDENTIAL" style="position:absolute;margin-left:0;margin-top:0;width:49.05pt;height:24.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t2CgIAABUEAAAOAAAAZHJzL2Uyb0RvYy54bWysU8Fu2zAMvQ/YPwi6L3ZSpF2MOEXWIsOA&#10;oC2QDj0rshQbkERBUmJnXz9KtpOt22nYRaZJ6pF8fFred1qRk3C+AVPS6SSnRBgOVWMOJf3+uvn0&#10;mRIfmKmYAiNKehae3q8+fli2thAzqEFVwhEEMb5obUnrEGyRZZ7XQjM/ASsMBiU4zQL+ukNWOdYi&#10;ulbZLM9vsxZcZR1w4T16H/sgXSV8KQUPz1J6EYgqKfYW0unSuY9ntlqy4uCYrRs+tMH+oQvNGoNF&#10;L1CPLDBydM0fULrhDjzIMOGgM5Cy4SLNgNNM83fT7GpmRZoFyfH2QpP/f7D86bSzL46E7gt0uMBI&#10;SGt94dEZ5+mk0/GLnRKMI4XnC22iC4Sj83Y2W9zMKeEYusnvFnfziJJdL1vnw1cBmkSjpA63kshi&#10;p60PfeqYEmsZ2DRKpc0o85sDMaMnu3YYrdDtu6HtPVRnnMZBv2hv+abBmlvmwwtzuFkcANUanvGQ&#10;CtqSwmBRUoP78Td/zEfCMUpJi0opqUEpU6K+GVxEFNVouNHYJ2O6yOc5xs1RPwDqb4pPwfJkotcF&#10;NZrSgX5DHa9jIQwxw7FcSfej+RB6yeI74GK9TkmoH8vC1uwsj9CRp0jia/fGnB2YDriiJxhlxIp3&#10;hPe58aa362NA2tM2Iqc9kQPVqL20z+GdRHH/+p+yrq959RMAAP//AwBQSwMEFAAGAAgAAAAhAOMg&#10;NgbbAAAAAwEAAA8AAABkcnMvZG93bnJldi54bWxMj8FuwjAQRO+V+AdrkXorDlCqEOIghMSJqhLQ&#10;S2/GXpK08TqKNxD+vm4v7WWl0Yxm3ubrwTXiil2oPSmYThIQSMbbmkoF76fdUwoisCarG0+o4I4B&#10;1sXoIdeZ9Tc64PXIpYglFDKtoGJuMymDqdDpMPEtUvQuvnOao+xKaTt9i+WukbMkeZFO1xQXKt3i&#10;tkLzdeydgsWBX/s3Os0/htn9c99uzfyyN0o9jofNCgTjwH9h+MGP6FBEprPvyQbRKIiP8O+N3jKd&#10;gjgreE4XIItc/mcvvgEAAP//AwBQSwECLQAUAAYACAAAACEAtoM4kv4AAADhAQAAEwAAAAAAAAAA&#10;AAAAAAAAAAAAW0NvbnRlbnRfVHlwZXNdLnhtbFBLAQItABQABgAIAAAAIQA4/SH/1gAAAJQBAAAL&#10;AAAAAAAAAAAAAAAAAC8BAABfcmVscy8ucmVsc1BLAQItABQABgAIAAAAIQCiaEt2CgIAABUEAAAO&#10;AAAAAAAAAAAAAAAAAC4CAABkcnMvZTJvRG9jLnhtbFBLAQItABQABgAIAAAAIQDjIDYG2wAAAAMB&#10;AAAPAAAAAAAAAAAAAAAAAGQEAABkcnMvZG93bnJldi54bWxQSwUGAAAAAAQABADzAAAAbAUAAAAA&#10;" filled="f" stroked="f">
              <v:textbox style="mso-fit-shape-to-text:t" inset="0,0,0,15pt">
                <w:txbxContent>
                  <w:p w14:paraId="5C65EC28" w14:textId="4D219951"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v:textbox>
              <w10:wrap anchorx="page" anchory="page"/>
            </v:shape>
          </w:pict>
        </mc:Fallback>
      </mc:AlternateContent>
    </w:r>
    <w:r w:rsidR="00E276CC" w:rsidRPr="00BC4E10">
      <w:fldChar w:fldCharType="begin"/>
    </w:r>
    <w:r w:rsidR="00E276CC" w:rsidRPr="00BC4E10">
      <w:instrText xml:space="preserve"> PAGE   \* MERGEFORMAT </w:instrText>
    </w:r>
    <w:r w:rsidR="00E276CC" w:rsidRPr="00BC4E10">
      <w:fldChar w:fldCharType="separate"/>
    </w:r>
    <w:r w:rsidR="00E276CC">
      <w:t>2</w:t>
    </w:r>
    <w:r w:rsidR="00E276CC" w:rsidRPr="00BC4E10">
      <w:fldChar w:fldCharType="end"/>
    </w:r>
    <w:r w:rsidR="00E276CC">
      <w:t xml:space="preserve"> | </w:t>
    </w:r>
    <w:r w:rsidR="00E276CC">
      <w:rPr>
        <w:noProof/>
      </w:rPr>
      <w:fldChar w:fldCharType="begin"/>
    </w:r>
    <w:r w:rsidR="00E276CC">
      <w:rPr>
        <w:noProof/>
      </w:rPr>
      <w:instrText xml:space="preserve"> STYLEREF  "Heading 1"  \* MERGEFORMAT </w:instrText>
    </w:r>
    <w:r w:rsidR="00E276CC">
      <w:rPr>
        <w:noProof/>
      </w:rPr>
      <w:fldChar w:fldCharType="separate"/>
    </w:r>
    <w:r w:rsidR="00880487">
      <w:rPr>
        <w:noProof/>
      </w:rPr>
      <w:t>Greenhouse gas</w:t>
    </w:r>
    <w:r w:rsidR="00E276CC">
      <w:rPr>
        <w:noProof/>
      </w:rPr>
      <w:fldChar w:fldCharType="end"/>
    </w:r>
    <w:r w:rsidR="00E276CC">
      <w:rPr>
        <w:noProof/>
      </w:rPr>
      <w:t xml:space="preserve"> </w:t>
    </w:r>
  </w:p>
  <w:p w14:paraId="2E913396" w14:textId="77777777" w:rsidR="00425260" w:rsidRPr="0063022F" w:rsidRDefault="00BC5BC5" w:rsidP="00E276CC">
    <w:pPr>
      <w:pStyle w:val="Footerright"/>
      <w:framePr w:wrap="around"/>
    </w:pPr>
    <w:sdt>
      <w:sdtPr>
        <w:alias w:val="Publish Date"/>
        <w:tag w:val=""/>
        <w:id w:val="598304732"/>
        <w:placeholder>
          <w:docPart w:val="FFC4A7BDBA77435EB3CB2E799667C79A"/>
        </w:placeholder>
        <w:showingPlcHdr/>
        <w:dataBinding w:prefixMappings="xmlns:ns0='http://schemas.microsoft.com/office/2006/coverPageProps' " w:xpath="/ns0:CoverPageProperties[1]/ns0:PublishDate[1]" w:storeItemID="{55AF091B-3C7A-41E3-B477-F2FDAA23CFDA}"/>
        <w:date>
          <w:dateFormat w:val="d.MM.yyyy"/>
          <w:lid w:val="en-AU"/>
          <w:storeMappedDataAs w:val="dateTime"/>
          <w:calendar w:val="gregorian"/>
        </w:date>
      </w:sdtPr>
      <w:sdtEndPr/>
      <w:sdtContent>
        <w:r w:rsidR="5F5F54A2" w:rsidRPr="5F5F54A2">
          <w:rPr>
            <w:rStyle w:val="PlaceholderText"/>
          </w:rPr>
          <w:t>[Date] and</w:t>
        </w:r>
      </w:sdtContent>
    </w:sdt>
    <w:r w:rsidR="5F5F54A2" w:rsidRPr="5F5F54A2">
      <w:t xml:space="preserve"> v</w:t>
    </w:r>
    <w:sdt>
      <w:sdtPr>
        <w:alias w:val="Comments"/>
        <w:tag w:val=""/>
        <w:id w:val="-82842124"/>
        <w:placeholder>
          <w:docPart w:val="1828A7126B6A4AE3B7BFBBE87B33D97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5F5F54A2" w:rsidRPr="5F5F54A2">
          <w:rPr>
            <w:rStyle w:val="PlaceholderText"/>
          </w:rPr>
          <w:t>[00] linked to document details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6416" w14:textId="23537AD5" w:rsidR="00E276CC" w:rsidRDefault="00A811E9" w:rsidP="00E276CC">
    <w:pPr>
      <w:pStyle w:val="FooterLeft"/>
      <w:framePr w:wrap="around"/>
    </w:pPr>
    <w:r>
      <w:rPr>
        <w:noProof/>
      </w:rPr>
      <mc:AlternateContent>
        <mc:Choice Requires="wps">
          <w:drawing>
            <wp:anchor distT="0" distB="0" distL="0" distR="0" simplePos="0" relativeHeight="251658243" behindDoc="0" locked="0" layoutInCell="1" allowOverlap="1" wp14:anchorId="549BF1E7" wp14:editId="4707E66B">
              <wp:simplePos x="635" y="635"/>
              <wp:positionH relativeFrom="page">
                <wp:align>center</wp:align>
              </wp:positionH>
              <wp:positionV relativeFrom="page">
                <wp:align>bottom</wp:align>
              </wp:positionV>
              <wp:extent cx="622935" cy="307975"/>
              <wp:effectExtent l="0" t="0" r="5715" b="0"/>
              <wp:wrapNone/>
              <wp:docPr id="796749784"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935" cy="307975"/>
                      </a:xfrm>
                      <a:prstGeom prst="rect">
                        <a:avLst/>
                      </a:prstGeom>
                      <a:noFill/>
                      <a:ln>
                        <a:noFill/>
                      </a:ln>
                    </wps:spPr>
                    <wps:txbx>
                      <w:txbxContent>
                        <w:p w14:paraId="6755224A" w14:textId="48116ACA"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BF1E7" id="_x0000_t202" coordsize="21600,21600" o:spt="202" path="m,l,21600r21600,l21600,xe">
              <v:stroke joinstyle="miter"/>
              <v:path gradientshapeok="t" o:connecttype="rect"/>
            </v:shapetype>
            <v:shape id="Text Box 3" o:spid="_x0000_s1028" type="#_x0000_t202" alt="CONFIDENTIAL" style="position:absolute;margin-left:0;margin-top:0;width:49.05pt;height:24.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41DQIAABwEAAAOAAAAZHJzL2Uyb0RvYy54bWysU8Fu2zAMvQ/YPwi6L3ZSpF2MOEXWIsOA&#10;oC2QDj0rshQbkERBUmJnXz9KjpO266nYRaZJ6pF8fJrfdlqRg3C+AVPS8SinRBgOVWN2Jf39vPr2&#10;nRIfmKmYAiNKehSe3i6+fpm3thATqEFVwhEEMb5obUnrEGyRZZ7XQjM/AisMBiU4zQL+ul1WOdYi&#10;ulbZJM+vsxZcZR1w4T167/sgXSR8KQUPj1J6EYgqKfYW0unSuY1ntpizYueYrRt+aoN9ogvNGoNF&#10;z1D3LDCyd80/ULrhDjzIMOKgM5Cy4SLNgNOM83fTbGpmRZoFyfH2TJP/f7D84bCxT46E7gd0uMBI&#10;SGt94dEZ5+mk0/GLnRKMI4XHM22iC4Sj83oymV1NKeEYuspvZjfTiJJdLlvnw08BmkSjpA63kshi&#10;h7UPfeqQEmsZWDVKpc0o88aBmNGTXTqMVui2HWmqV91voTriUA76fXvLVw2WXjMfnpjDBeMcKNrw&#10;iIdU0JYUThYlNbg/H/ljPvKOUUpaFExJDSqaEvXL4D6itgbDDcY2GeNZPs0xbvb6DlCGY3wRlicT&#10;vS6owZQO9AvKeRkLYYgZjuVKuh3Mu9ArF58DF8tlSkIZWRbWZmN5hI50RS6fuxfm7InwgJt6gEFN&#10;rHjHe58bb3q73AdkPy0lUtsTeWIcJZjWenouUeOv/1PW5VEv/gIAAP//AwBQSwMEFAAGAAgAAAAh&#10;AOMgNgbbAAAAAwEAAA8AAABkcnMvZG93bnJldi54bWxMj8FuwjAQRO+V+AdrkXorDlCqEOIghMSJ&#10;qhLQS2/GXpK08TqKNxD+vm4v7WWl0Yxm3ubrwTXiil2oPSmYThIQSMbbmkoF76fdUwoisCarG0+o&#10;4I4B1sXoIdeZ9Tc64PXIpYglFDKtoGJuMymDqdDpMPEtUvQuvnOao+xKaTt9i+WukbMkeZFO1xQX&#10;Kt3itkLzdeydgsWBX/s3Os0/htn9c99uzfyyN0o9jofNCgTjwH9h+MGP6FBEprPvyQbRKIiP8O+N&#10;3jKdgjgreE4XIItc/mcvvgEAAP//AwBQSwECLQAUAAYACAAAACEAtoM4kv4AAADhAQAAEwAAAAAA&#10;AAAAAAAAAAAAAAAAW0NvbnRlbnRfVHlwZXNdLnhtbFBLAQItABQABgAIAAAAIQA4/SH/1gAAAJQB&#10;AAALAAAAAAAAAAAAAAAAAC8BAABfcmVscy8ucmVsc1BLAQItABQABgAIAAAAIQDHQ741DQIAABwE&#10;AAAOAAAAAAAAAAAAAAAAAC4CAABkcnMvZTJvRG9jLnhtbFBLAQItABQABgAIAAAAIQDjIDYG2wAA&#10;AAMBAAAPAAAAAAAAAAAAAAAAAGcEAABkcnMvZG93bnJldi54bWxQSwUGAAAAAAQABADzAAAAbwUA&#10;AAAA&#10;" filled="f" stroked="f">
              <v:textbox style="mso-fit-shape-to-text:t" inset="0,0,0,15pt">
                <w:txbxContent>
                  <w:p w14:paraId="6755224A" w14:textId="48116ACA"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v:textbox>
              <w10:wrap anchorx="page" anchory="page"/>
            </v:shape>
          </w:pict>
        </mc:Fallback>
      </mc:AlternateContent>
    </w:r>
    <w:sdt>
      <w:sdtPr>
        <w:alias w:val="Publish Date"/>
        <w:tag w:val=""/>
        <w:id w:val="-1430811659"/>
        <w:placeholder>
          <w:docPart w:val="3E70840594124E1BA78B4FC551C0FAE9"/>
        </w:placeholder>
        <w:showingPlcHdr/>
        <w:dataBinding w:prefixMappings="xmlns:ns0='http://schemas.microsoft.com/office/2006/coverPageProps' " w:xpath="/ns0:CoverPageProperties[1]/ns0:PublishDate[1]" w:storeItemID="{55AF091B-3C7A-41E3-B477-F2FDAA23CFDA}"/>
        <w:date>
          <w:dateFormat w:val="d.MM.yyyy"/>
          <w:lid w:val="en-AU"/>
          <w:storeMappedDataAs w:val="dateTime"/>
          <w:calendar w:val="gregorian"/>
        </w:date>
      </w:sdtPr>
      <w:sdtEndPr/>
      <w:sdtContent>
        <w:r w:rsidR="5F5F54A2" w:rsidRPr="5F5F54A2">
          <w:rPr>
            <w:rStyle w:val="PlaceholderText"/>
          </w:rPr>
          <w:t>[Date] and</w:t>
        </w:r>
      </w:sdtContent>
    </w:sdt>
    <w:r w:rsidR="5F5F54A2" w:rsidRPr="5F5F54A2">
      <w:t xml:space="preserve">  v</w:t>
    </w:r>
    <w:sdt>
      <w:sdtPr>
        <w:alias w:val="Comments"/>
        <w:tag w:val=""/>
        <w:id w:val="-297540896"/>
        <w:placeholder>
          <w:docPart w:val="A9360176820C4201B243F3572091DEB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5F5F54A2" w:rsidRPr="5F5F54A2">
          <w:rPr>
            <w:rStyle w:val="PlaceholderText"/>
          </w:rPr>
          <w:t>[00] linked to document details</w:t>
        </w:r>
      </w:sdtContent>
    </w:sdt>
  </w:p>
  <w:p w14:paraId="2A2A4C9D" w14:textId="325621B0" w:rsidR="009912CB" w:rsidRPr="00BC4E10" w:rsidRDefault="00880487" w:rsidP="00E276CC">
    <w:pPr>
      <w:pStyle w:val="Footerright"/>
      <w:framePr w:wrap="around"/>
    </w:pPr>
    <w:fldSimple w:instr="STYLEREF  &quot;Heading 1&quot;  \* MERGEFORMAT">
      <w:r>
        <w:rPr>
          <w:noProof/>
        </w:rPr>
        <w:t>Greenhouse gas</w:t>
      </w:r>
    </w:fldSimple>
    <w:r w:rsidR="00E276CC">
      <w:t xml:space="preserve"> </w:t>
    </w:r>
    <w:r w:rsidR="00E276CC" w:rsidRPr="00BC4E10">
      <w:t xml:space="preserve">| </w:t>
    </w:r>
    <w:r w:rsidR="00E276CC" w:rsidRPr="00BC4E10">
      <w:fldChar w:fldCharType="begin"/>
    </w:r>
    <w:r w:rsidR="00E276CC" w:rsidRPr="00BC4E10">
      <w:instrText xml:space="preserve"> PAGE   \* MERGEFORMAT </w:instrText>
    </w:r>
    <w:r w:rsidR="00E276CC" w:rsidRPr="00BC4E10">
      <w:fldChar w:fldCharType="separate"/>
    </w:r>
    <w:r w:rsidR="00E276CC">
      <w:t>17</w:t>
    </w:r>
    <w:r w:rsidR="00E276CC" w:rsidRPr="00BC4E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BDCC" w14:textId="33493704" w:rsidR="00084150" w:rsidRDefault="00A811E9">
    <w:pPr>
      <w:pStyle w:val="Footer"/>
    </w:pPr>
    <w:r>
      <w:rPr>
        <w:noProof/>
      </w:rPr>
      <mc:AlternateContent>
        <mc:Choice Requires="wps">
          <w:drawing>
            <wp:anchor distT="0" distB="0" distL="0" distR="0" simplePos="0" relativeHeight="251658241" behindDoc="0" locked="0" layoutInCell="1" allowOverlap="1" wp14:anchorId="1AD06F7E" wp14:editId="6D967EE7">
              <wp:simplePos x="901700" y="10356850"/>
              <wp:positionH relativeFrom="page">
                <wp:align>center</wp:align>
              </wp:positionH>
              <wp:positionV relativeFrom="page">
                <wp:align>bottom</wp:align>
              </wp:positionV>
              <wp:extent cx="622935" cy="307975"/>
              <wp:effectExtent l="0" t="0" r="5715" b="0"/>
              <wp:wrapNone/>
              <wp:docPr id="1592648162"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935" cy="307975"/>
                      </a:xfrm>
                      <a:prstGeom prst="rect">
                        <a:avLst/>
                      </a:prstGeom>
                      <a:noFill/>
                      <a:ln>
                        <a:noFill/>
                      </a:ln>
                    </wps:spPr>
                    <wps:txbx>
                      <w:txbxContent>
                        <w:p w14:paraId="6A442302" w14:textId="52FFFE4F"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D06F7E" id="_x0000_t202" coordsize="21600,21600" o:spt="202" path="m,l,21600r21600,l21600,xe">
              <v:stroke joinstyle="miter"/>
              <v:path gradientshapeok="t" o:connecttype="rect"/>
            </v:shapetype>
            <v:shape id="Text Box 1" o:spid="_x0000_s1029" type="#_x0000_t202" alt="CONFIDENTIAL" style="position:absolute;margin-left:0;margin-top:0;width:49.05pt;height:24.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lzDwIAABwEAAAOAAAAZHJzL2Uyb0RvYy54bWysU8Fu2zAMvQ/YPwi6L3ZSpF2MOEXWIsOA&#10;oC2QDj3LshQbkERBUmJnXz9KjpOt22nYRaZJ6pF8fFre91qRo3C+BVPS6SSnRBgOdWv2Jf3+uvn0&#10;mRIfmKmZAiNKehKe3q8+flh2thAzaEDVwhEEMb7obEmbEGyRZZ43QjM/ASsMBiU4zQL+un1WO9Yh&#10;ulbZLM9vsw5cbR1w4T16H4cgXSV8KQUPz1J6EYgqKfYW0unSWcUzWy1ZsXfMNi0/t8H+oQvNWoNF&#10;L1CPLDBycO0fULrlDjzIMOGgM5Cy5SLNgNNM83fT7BpmRZoFyfH2QpP/f7D86bizL46E/gv0uMBI&#10;SGd94dEZ5+ml0/GLnRKMI4WnC22iD4Sj83Y2W9zMKeEYusnvFnfziJJdL1vnw1cBmkSjpA63kshi&#10;x60PQ+qYEmsZ2LRKpc0o85sDMaMnu3YYrdBXPWnrks7G7iuoTziUg2Hf3vJNi6W3zIcX5nDBOAeK&#10;NjzjIRV0JYWzRUkD7sff/DEfeccoJR0KpqQGFU2J+mZwH1Fbo+FGo0rGdJHPc4ybg34AlOEUX4Tl&#10;yUSvC2o0pQP9hnJex0IYYoZjuZJWo/kQBuXic+BivU5JKCPLwtbsLI/Qka7I5Wv/xpw9Ex5wU08w&#10;qokV73gfcuNNb9eHgOynpURqByLPjKME01rPzyVq/Nf/lHV91KufAAAA//8DAFBLAwQUAAYACAAA&#10;ACEA4yA2BtsAAAADAQAADwAAAGRycy9kb3ducmV2LnhtbEyPwW7CMBBE75X4B2uReisOUKoQ4iCE&#10;xImqEtBLb8ZekrTxOoo3EP6+bi/tZaXRjGbe5uvBNeKKXag9KZhOEhBIxtuaSgXvp91TCiKwJqsb&#10;T6jgjgHWxegh15n1Nzrg9ciliCUUMq2gYm4zKYOp0Okw8S1S9C6+c5qj7EppO32L5a6RsyR5kU7X&#10;FBcq3eK2QvN17J2CxYFf+zc6zT+G2f1z327N/LI3Sj2Oh80KBOPAf2H4wY/oUESms+/JBtEoiI/w&#10;743eMp2COCt4Thcgi1z+Zy++AQAA//8DAFBLAQItABQABgAIAAAAIQC2gziS/gAAAOEBAAATAAAA&#10;AAAAAAAAAAAAAAAAAABbQ29udGVudF9UeXBlc10ueG1sUEsBAi0AFAAGAAgAAAAhADj9If/WAAAA&#10;lAEAAAsAAAAAAAAAAAAAAAAALwEAAF9yZWxzLy5yZWxzUEsBAi0AFAAGAAgAAAAhAHCCaXMPAgAA&#10;HAQAAA4AAAAAAAAAAAAAAAAALgIAAGRycy9lMm9Eb2MueG1sUEsBAi0AFAAGAAgAAAAhAOMgNgbb&#10;AAAAAwEAAA8AAAAAAAAAAAAAAAAAaQQAAGRycy9kb3ducmV2LnhtbFBLBQYAAAAABAAEAPMAAABx&#10;BQAAAAA=&#10;" filled="f" stroked="f">
              <v:textbox style="mso-fit-shape-to-text:t" inset="0,0,0,15pt">
                <w:txbxContent>
                  <w:p w14:paraId="6A442302" w14:textId="52FFFE4F"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398F" w14:textId="479B5B8A" w:rsidR="00621EC2" w:rsidRDefault="00621EC2" w:rsidP="00621EC2">
    <w:pPr>
      <w:pStyle w:val="FooterLeft"/>
      <w:framePr w:wrap="around"/>
    </w:pPr>
    <w:r w:rsidRPr="00BC4E10">
      <w:fldChar w:fldCharType="begin"/>
    </w:r>
    <w:r w:rsidRPr="00BC4E10">
      <w:instrText xml:space="preserve"> PAGE   \* MERGEFORMAT </w:instrText>
    </w:r>
    <w:r w:rsidRPr="00BC4E10">
      <w:fldChar w:fldCharType="separate"/>
    </w:r>
    <w:r>
      <w:t>1-6</w:t>
    </w:r>
    <w:r w:rsidRPr="00BC4E10">
      <w:fldChar w:fldCharType="end"/>
    </w:r>
    <w:r>
      <w:t xml:space="preserve"> | </w:t>
    </w:r>
    <w:r>
      <w:rPr>
        <w:noProof/>
      </w:rPr>
      <w:fldChar w:fldCharType="begin"/>
    </w:r>
    <w:r>
      <w:rPr>
        <w:noProof/>
      </w:rPr>
      <w:instrText xml:space="preserve"> STYLEREF  "Heading 1"  \* MERGEFORMAT </w:instrText>
    </w:r>
    <w:r>
      <w:rPr>
        <w:noProof/>
      </w:rPr>
      <w:fldChar w:fldCharType="separate"/>
    </w:r>
    <w:r w:rsidR="00BC5BC5">
      <w:rPr>
        <w:noProof/>
      </w:rPr>
      <w:t>Greenhouse gas</w:t>
    </w:r>
    <w:r>
      <w:rPr>
        <w:noProof/>
      </w:rPr>
      <w:fldChar w:fldCharType="end"/>
    </w:r>
    <w:r>
      <w:rPr>
        <w:noProof/>
      </w:rPr>
      <w:t xml:space="preserve"> </w:t>
    </w:r>
  </w:p>
  <w:p w14:paraId="056D1703" w14:textId="0A581775" w:rsidR="003F344E" w:rsidRPr="00621EC2" w:rsidRDefault="003F344E" w:rsidP="00621E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F47C" w14:textId="3EBC3557" w:rsidR="00E66862" w:rsidRPr="00BC4E10" w:rsidRDefault="006B28AE" w:rsidP="00E66862">
    <w:pPr>
      <w:pStyle w:val="Footerright"/>
      <w:framePr w:wrap="around"/>
    </w:pPr>
    <w:fldSimple w:instr=" STYLEREF  &quot;Heading 1&quot;  \* MERGEFORMAT ">
      <w:r w:rsidR="00BC5BC5">
        <w:rPr>
          <w:noProof/>
        </w:rPr>
        <w:t>Greenhouse gas</w:t>
      </w:r>
    </w:fldSimple>
    <w:r w:rsidR="00E66862">
      <w:t xml:space="preserve"> </w:t>
    </w:r>
    <w:r w:rsidR="00E66862" w:rsidRPr="00BC4E10">
      <w:t xml:space="preserve">| </w:t>
    </w:r>
    <w:r w:rsidR="00E66862" w:rsidRPr="00BC4E10">
      <w:fldChar w:fldCharType="begin"/>
    </w:r>
    <w:r w:rsidR="00E66862" w:rsidRPr="00BC4E10">
      <w:instrText xml:space="preserve"> PAGE   \* MERGEFORMAT </w:instrText>
    </w:r>
    <w:r w:rsidR="00E66862" w:rsidRPr="00BC4E10">
      <w:fldChar w:fldCharType="separate"/>
    </w:r>
    <w:r w:rsidR="00E66862">
      <w:t>1-1</w:t>
    </w:r>
    <w:r w:rsidR="00E66862" w:rsidRPr="00BC4E10">
      <w:fldChar w:fldCharType="end"/>
    </w:r>
  </w:p>
  <w:p w14:paraId="653B3553" w14:textId="6D8467D3" w:rsidR="003F344E" w:rsidRPr="00E66862" w:rsidRDefault="003F344E" w:rsidP="00E668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D248" w14:textId="65989C12" w:rsidR="00084150" w:rsidRDefault="00A811E9">
    <w:pPr>
      <w:pStyle w:val="Footer"/>
    </w:pPr>
    <w:r>
      <w:rPr>
        <w:noProof/>
      </w:rPr>
      <mc:AlternateContent>
        <mc:Choice Requires="wps">
          <w:drawing>
            <wp:anchor distT="0" distB="0" distL="0" distR="0" simplePos="0" relativeHeight="251658244" behindDoc="0" locked="0" layoutInCell="1" allowOverlap="1" wp14:anchorId="2AA83BAD" wp14:editId="5B6D98F5">
              <wp:simplePos x="635" y="635"/>
              <wp:positionH relativeFrom="page">
                <wp:align>center</wp:align>
              </wp:positionH>
              <wp:positionV relativeFrom="page">
                <wp:align>bottom</wp:align>
              </wp:positionV>
              <wp:extent cx="622935" cy="307975"/>
              <wp:effectExtent l="0" t="0" r="5715" b="0"/>
              <wp:wrapNone/>
              <wp:docPr id="1112507979" name="Text Box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935" cy="307975"/>
                      </a:xfrm>
                      <a:prstGeom prst="rect">
                        <a:avLst/>
                      </a:prstGeom>
                      <a:noFill/>
                      <a:ln>
                        <a:noFill/>
                      </a:ln>
                    </wps:spPr>
                    <wps:txbx>
                      <w:txbxContent>
                        <w:p w14:paraId="6F01A138" w14:textId="2C92E66B"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A83BAD" id="_x0000_t202" coordsize="21600,21600" o:spt="202" path="m,l,21600r21600,l21600,xe">
              <v:stroke joinstyle="miter"/>
              <v:path gradientshapeok="t" o:connecttype="rect"/>
            </v:shapetype>
            <v:shape id="Text Box 7" o:spid="_x0000_s1030" type="#_x0000_t202" alt="CONFIDENTIAL" style="position:absolute;margin-left:0;margin-top:0;width:49.05pt;height:24.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tODgIAABwEAAAOAAAAZHJzL2Uyb0RvYy54bWysU8Fu2zAMvQ/YPwi6L3ZSpF2MOEXWIsOA&#10;oC2QDj3LshQbkERBUmJnXz9KjpOt22nYRaZJ6pF8fFre91qRo3C+BVPS6SSnRBgOdWv2Jf3+uvn0&#10;mRIfmKmZAiNKehKe3q8+flh2thAzaEDVwhEEMb7obEmbEGyRZZ43QjM/ASsMBiU4zQL+un1WO9Yh&#10;ulbZLM9vsw5cbR1w4T16H4cgXSV8KQUPz1J6EYgqKfYW0unSWcUzWy1ZsXfMNi0/t8H+oQvNWoNF&#10;L1CPLDBycO0fULrlDjzIMOGgM5Cy5SLNgNNM83fT7BpmRZoFyfH2QpP/f7D86bizL46E/gv0uMBI&#10;SGd94dEZ5+ml0/GLnRKMI4WnC22iD4Sj83Y2W9zMKeEYusnvFnfziJJdL1vnw1cBmkSjpA63kshi&#10;x60PQ+qYEmsZ2LRKpc0o85sDMaMnu3YYrdBXPWlrLD52X0F9wqEcDPv2lm9aLL1lPrwwhwvGOVC0&#10;4RkPqaArKZwtShpwP/7mj/nIO0Yp6VAwJTWoaErUN4P7iNoaDTcaVTKmi3yeY9wc9AOgDKf4IixP&#10;JnpdUKMpHeg3lPM6FsIQMxzLlbQazYcwKBefAxfrdUpCGVkWtmZneYSOdEUuX/s35uyZ8ICbeoJR&#10;Tax4x/uQG296uz4EZD8tJVI7EHlmHCWY1np+LlHjv/6nrOujXv0EAAD//wMAUEsDBBQABgAIAAAA&#10;IQDjIDYG2wAAAAMBAAAPAAAAZHJzL2Rvd25yZXYueG1sTI/BbsIwEETvlfgHa5F6Kw5QqhDiIITE&#10;iaoS0Etvxl6StPE6ijcQ/r5uL+1lpdGMZt7m68E14opdqD0pmE4SEEjG25pKBe+n3VMKIrAmqxtP&#10;qOCOAdbF6CHXmfU3OuD1yKWIJRQyraBibjMpg6nQ6TDxLVL0Lr5zmqPsSmk7fYvlrpGzJHmRTtcU&#10;Fyrd4rZC83XsnYLFgV/7NzrNP4bZ/XPfbs38sjdKPY6HzQoE48B/YfjBj+hQRKaz78kG0SiIj/Dv&#10;jd4ynYI4K3hOFyCLXP5nL74BAAD//wMAUEsBAi0AFAAGAAgAAAAhALaDOJL+AAAA4QEAABMAAAAA&#10;AAAAAAAAAAAAAAAAAFtDb250ZW50X1R5cGVzXS54bWxQSwECLQAUAAYACAAAACEAOP0h/9YAAACU&#10;AQAACwAAAAAAAAAAAAAAAAAvAQAAX3JlbHMvLnJlbHNQSwECLQAUAAYACAAAACEAHT3bTg4CAAAc&#10;BAAADgAAAAAAAAAAAAAAAAAuAgAAZHJzL2Uyb0RvYy54bWxQSwECLQAUAAYACAAAACEA4yA2BtsA&#10;AAADAQAADwAAAAAAAAAAAAAAAABoBAAAZHJzL2Rvd25yZXYueG1sUEsFBgAAAAAEAAQA8wAAAHAF&#10;AAAAAA==&#10;" filled="f" stroked="f">
              <v:textbox style="mso-fit-shape-to-text:t" inset="0,0,0,15pt">
                <w:txbxContent>
                  <w:p w14:paraId="6F01A138" w14:textId="2C92E66B"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FFA5" w14:textId="77777777" w:rsidR="00BC5BC5" w:rsidRDefault="00BC5B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DE71" w14:textId="77777777" w:rsidR="00BC5BC5" w:rsidRDefault="00BC5BC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F7BE" w14:textId="05A13911" w:rsidR="00084150" w:rsidRDefault="00A811E9">
    <w:pPr>
      <w:pStyle w:val="Footer"/>
    </w:pPr>
    <w:r>
      <w:rPr>
        <w:noProof/>
      </w:rPr>
      <mc:AlternateContent>
        <mc:Choice Requires="wps">
          <w:drawing>
            <wp:anchor distT="0" distB="0" distL="0" distR="0" simplePos="0" relativeHeight="251658245" behindDoc="0" locked="0" layoutInCell="1" allowOverlap="1" wp14:anchorId="1516EDD6" wp14:editId="45B04793">
              <wp:simplePos x="635" y="635"/>
              <wp:positionH relativeFrom="page">
                <wp:align>center</wp:align>
              </wp:positionH>
              <wp:positionV relativeFrom="page">
                <wp:align>bottom</wp:align>
              </wp:positionV>
              <wp:extent cx="622935" cy="307975"/>
              <wp:effectExtent l="0" t="0" r="5715" b="0"/>
              <wp:wrapNone/>
              <wp:docPr id="146050571" name="Text Box 10"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935" cy="307975"/>
                      </a:xfrm>
                      <a:prstGeom prst="rect">
                        <a:avLst/>
                      </a:prstGeom>
                      <a:noFill/>
                      <a:ln>
                        <a:noFill/>
                      </a:ln>
                    </wps:spPr>
                    <wps:txbx>
                      <w:txbxContent>
                        <w:p w14:paraId="7C46F868" w14:textId="49B4AD89"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6EDD6" id="_x0000_t202" coordsize="21600,21600" o:spt="202" path="m,l,21600r21600,l21600,xe">
              <v:stroke joinstyle="miter"/>
              <v:path gradientshapeok="t" o:connecttype="rect"/>
            </v:shapetype>
            <v:shape id="Text Box 10" o:spid="_x0000_s1031" type="#_x0000_t202" alt="CONFIDENTIAL" style="position:absolute;margin-left:0;margin-top:0;width:49.05pt;height:24.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b+DwIAABwEAAAOAAAAZHJzL2Uyb0RvYy54bWysU8Fu2zAMvQ/YPwi6L3bSpW2MOEXWIsOA&#10;oC2QDj0rshQbkERBUmJnXz9KjpOt26noRaZJ6pF8fJrfdVqRg3C+AVPS8SinRBgOVWN2Jf35svpy&#10;S4kPzFRMgRElPQpP7xafP81bW4gJ1KAq4QiCGF+0tqR1CLbIMs9roZkfgRUGgxKcZgF/3S6rHGsR&#10;XatskufXWQuusg648B69D32QLhK+lIKHJym9CESVFHsL6XTp3MYzW8xZsXPM1g0/tcHe0YVmjcGi&#10;Z6gHFhjZu+YfKN1wBx5kGHHQGUjZcJFmwGnG+ZtpNjWzIs2C5Hh7psl/HCx/PGzssyOh+wYdLjAS&#10;0lpfeHTGeTrpdPxipwTjSOHxTJvoAuHovJ5MZldTSjiGrvKb2c00omSXy9b58F2AJtEoqcOtJLLY&#10;Ye1DnzqkxFoGVo1SaTPK/OVAzOjJLh1GK3TbjjRVSb8O3W+hOuJQDvp9e8tXDZZeMx+emcMF4xwo&#10;2vCEh1TQlhROFiU1uF//88d85B2jlLQomJIaVDQl6ofBfURtDYYbjG0yxrN8mmPc7PU9oAzH+CIs&#10;TyZ6XVCDKR3oV5TzMhbCEDMcy5V0O5j3oVcuPgculsuUhDKyLKzNxvIIHemKXL50r8zZE+EBN/UI&#10;g5pY8Yb3Pjfe9Ha5D8h+WkqktifyxDhKMK319Fyixv/8T1mXR734DQAA//8DAFBLAwQUAAYACAAA&#10;ACEA4yA2BtsAAAADAQAADwAAAGRycy9kb3ducmV2LnhtbEyPwW7CMBBE75X4B2uReisOUKoQ4iCE&#10;xImqEtBLb8ZekrTxOoo3EP6+bi/tZaXRjGbe5uvBNeKKXag9KZhOEhBIxtuaSgXvp91TCiKwJqsb&#10;T6jgjgHWxegh15n1Nzrg9ciliCUUMq2gYm4zKYOp0Okw8S1S9C6+c5qj7EppO32L5a6RsyR5kU7X&#10;FBcq3eK2QvN17J2CxYFf+zc6zT+G2f1z327N/LI3Sj2Oh80KBOPAf2H4wY/oUESms+/JBtEoiI/w&#10;743eMp2COCt4Thcgi1z+Zy++AQAA//8DAFBLAQItABQABgAIAAAAIQC2gziS/gAAAOEBAAATAAAA&#10;AAAAAAAAAAAAAAAAAABbQ29udGVudF9UeXBlc10ueG1sUEsBAi0AFAAGAAgAAAAhADj9If/WAAAA&#10;lAEAAAsAAAAAAAAAAAAAAAAALwEAAF9yZWxzLy5yZWxzUEsBAi0AFAAGAAgAAAAhAB4Bxv4PAgAA&#10;HAQAAA4AAAAAAAAAAAAAAAAALgIAAGRycy9lMm9Eb2MueG1sUEsBAi0AFAAGAAgAAAAhAOMgNgbb&#10;AAAAAwEAAA8AAAAAAAAAAAAAAAAAaQQAAGRycy9kb3ducmV2LnhtbFBLBQYAAAAABAAEAPMAAABx&#10;BQAAAAA=&#10;" filled="f" stroked="f">
              <v:textbox style="mso-fit-shape-to-text:t" inset="0,0,0,15pt">
                <w:txbxContent>
                  <w:p w14:paraId="7C46F868" w14:textId="49B4AD89" w:rsidR="00A811E9" w:rsidRPr="00A811E9" w:rsidRDefault="00A811E9" w:rsidP="00A811E9">
                    <w:pPr>
                      <w:spacing w:after="0"/>
                      <w:rPr>
                        <w:rFonts w:ascii="Century Gothic" w:eastAsia="Century Gothic" w:hAnsi="Century Gothic" w:cs="Century Gothic"/>
                        <w:noProof/>
                        <w:color w:val="7F7F7F"/>
                        <w:sz w:val="14"/>
                        <w:szCs w:val="14"/>
                      </w:rPr>
                    </w:pPr>
                    <w:r w:rsidRPr="00A811E9">
                      <w:rPr>
                        <w:rFonts w:ascii="Century Gothic" w:eastAsia="Century Gothic" w:hAnsi="Century Gothic" w:cs="Century Gothic"/>
                        <w:noProof/>
                        <w:color w:val="7F7F7F"/>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31B6F" w14:textId="77777777" w:rsidR="00A14F8F" w:rsidRDefault="00A14F8F" w:rsidP="00CC6183">
      <w:r>
        <w:separator/>
      </w:r>
    </w:p>
  </w:footnote>
  <w:footnote w:type="continuationSeparator" w:id="0">
    <w:p w14:paraId="657A91C9" w14:textId="77777777" w:rsidR="00A14F8F" w:rsidRDefault="00A14F8F" w:rsidP="00CC6183">
      <w:r>
        <w:continuationSeparator/>
      </w:r>
    </w:p>
  </w:footnote>
  <w:footnote w:type="continuationNotice" w:id="1">
    <w:p w14:paraId="34B49127" w14:textId="77777777" w:rsidR="00A14F8F" w:rsidRDefault="00A14F8F">
      <w:pPr>
        <w:spacing w:after="0" w:line="240" w:lineRule="auto"/>
      </w:pPr>
    </w:p>
  </w:footnote>
  <w:footnote w:id="2">
    <w:p w14:paraId="3FC57591" w14:textId="0CBEDFB8" w:rsidR="00B62DF3" w:rsidRDefault="00B62DF3" w:rsidP="00781F8A">
      <w:pPr>
        <w:pStyle w:val="TableText"/>
      </w:pPr>
      <w:r>
        <w:rPr>
          <w:rStyle w:val="FootnoteReference"/>
        </w:rPr>
        <w:footnoteRef/>
      </w:r>
      <w:r>
        <w:t xml:space="preserve"> </w:t>
      </w:r>
      <w:r w:rsidR="005D4280">
        <w:t>1 kilotonne equals 1</w:t>
      </w:r>
      <w:r w:rsidR="00202C09">
        <w:t>,</w:t>
      </w:r>
      <w:r w:rsidR="005D4280">
        <w:t>000 tonnes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3AA9" w14:textId="566C960A" w:rsidR="0063022F" w:rsidRDefault="00DD2CAE">
    <w:pPr>
      <w:pStyle w:val="Header"/>
    </w:pPr>
    <w:r w:rsidRPr="00DB680C">
      <w:rPr>
        <w:noProof/>
      </w:rPr>
      <mc:AlternateContent>
        <mc:Choice Requires="wpg">
          <w:drawing>
            <wp:anchor distT="0" distB="0" distL="114300" distR="114300" simplePos="0" relativeHeight="251658240" behindDoc="1" locked="1" layoutInCell="1" allowOverlap="1" wp14:anchorId="14ADC238" wp14:editId="6900A0E1">
              <wp:simplePos x="0" y="0"/>
              <wp:positionH relativeFrom="page">
                <wp:align>left</wp:align>
              </wp:positionH>
              <wp:positionV relativeFrom="page">
                <wp:align>top</wp:align>
              </wp:positionV>
              <wp:extent cx="7290000" cy="9972000"/>
              <wp:effectExtent l="0" t="0" r="6350" b="0"/>
              <wp:wrapNone/>
              <wp:docPr id="26" name="Group 6"/>
              <wp:cNvGraphicFramePr/>
              <a:graphic xmlns:a="http://schemas.openxmlformats.org/drawingml/2006/main">
                <a:graphicData uri="http://schemas.microsoft.com/office/word/2010/wordprocessingGroup">
                  <wpg:wgp>
                    <wpg:cNvGrpSpPr/>
                    <wpg:grpSpPr>
                      <a:xfrm>
                        <a:off x="0" y="0"/>
                        <a:ext cx="7290000" cy="9972000"/>
                        <a:chOff x="0" y="0"/>
                        <a:chExt cx="7290000" cy="9971965"/>
                      </a:xfrm>
                    </wpg:grpSpPr>
                    <wps:wsp>
                      <wps:cNvPr id="27" name="Graphic 2"/>
                      <wps:cNvSpPr>
                        <a:spLocks noChangeAspect="1"/>
                      </wps:cNvSpPr>
                      <wps:spPr>
                        <a:xfrm>
                          <a:off x="270000" y="270000"/>
                          <a:ext cx="7020000" cy="9701965"/>
                        </a:xfrm>
                        <a:custGeom>
                          <a:avLst/>
                          <a:gdLst>
                            <a:gd name="connsiteX0" fmla="*/ 0 w 5265039"/>
                            <a:gd name="connsiteY0" fmla="*/ 0 h 7276528"/>
                            <a:gd name="connsiteX1" fmla="*/ 5265039 w 5265039"/>
                            <a:gd name="connsiteY1" fmla="*/ 0 h 7276528"/>
                            <a:gd name="connsiteX2" fmla="*/ 5265039 w 5265039"/>
                            <a:gd name="connsiteY2" fmla="*/ 7276529 h 7276528"/>
                            <a:gd name="connsiteX3" fmla="*/ 0 w 5265039"/>
                            <a:gd name="connsiteY3" fmla="*/ 7276529 h 7276528"/>
                          </a:gdLst>
                          <a:ahLst/>
                          <a:cxnLst>
                            <a:cxn ang="0">
                              <a:pos x="connsiteX0" y="connsiteY0"/>
                            </a:cxn>
                            <a:cxn ang="0">
                              <a:pos x="connsiteX1" y="connsiteY1"/>
                            </a:cxn>
                            <a:cxn ang="0">
                              <a:pos x="connsiteX2" y="connsiteY2"/>
                            </a:cxn>
                            <a:cxn ang="0">
                              <a:pos x="connsiteX3" y="connsiteY3"/>
                            </a:cxn>
                          </a:cxnLst>
                          <a:rect l="l" t="t" r="r" b="b"/>
                          <a:pathLst>
                            <a:path w="5265039" h="7276528">
                              <a:moveTo>
                                <a:pt x="0" y="0"/>
                              </a:moveTo>
                              <a:lnTo>
                                <a:pt x="5265039" y="0"/>
                              </a:lnTo>
                              <a:lnTo>
                                <a:pt x="5265039" y="7276529"/>
                              </a:lnTo>
                              <a:lnTo>
                                <a:pt x="0" y="7276529"/>
                              </a:lnTo>
                              <a:close/>
                            </a:path>
                          </a:pathLst>
                        </a:custGeom>
                        <a:solidFill>
                          <a:schemeClr val="accent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0"/>
                          <a:ext cx="269675" cy="27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19F23FD" id="Group 6" o:spid="_x0000_s1026" style="position:absolute;margin-left:0;margin-top:0;width:574pt;height:785.2pt;z-index:-251658240;mso-position-horizontal:left;mso-position-horizontal-relative:page;mso-position-vertical:top;mso-position-vertical-relative:page;mso-width-relative:margin;mso-height-relative:margin" coordsize="72900,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rAWgQAACQMAAAOAAAAZHJzL2Uyb0RvYy54bWy0Vt9PIzcQfq/U/8Hax0q9hIUkl4hwQlBQ&#10;JXRFB9VdH43Xm13Va7u2Q8L99f3G3t0sAQ5E1Twkdjw/PN98M+PjT9tGsXvpfG30Mjv4MM6Y1MIU&#10;tV4tsz9vL379mDEfuC64Mlouswfps08nP/90vLELmZvKqEI6BiPaLzZ2mVUh2MVo5EUlG+4/GCs1&#10;DkvjGh6wdatR4fgG1hs1ysfj6WhjXGGdEdJ7/HueDrOTaL8spQh/lKWXgallhruF+O3i9x19j06O&#10;+WLluK1q0V6Dv+MWDa81nPamznngbO3qJ6aaWjjjTRk+CNOMTFnWQsYYEM3BeC+aS2fWNsayWmxW&#10;tocJ0O7h9G6z4vP9pbM39toBiY1dAYu4o1i2pWvoF7dk2wjZQw+Z3AYm8Ocsn4/xyZjA2Xw+Q05a&#10;UEUF5J/oieq3FzQP5tMJpWPUOR49us7GgiB+h4H/bxjcVNzKCK1fAINrx+pimeWzjGnegKeXLSVy&#10;uhL5hhChRHh4e2XE355pc1ZxvZKn3oJnYH+8/iNh2vhWbQ/OfJaAA27tMnKxB3ZMUHbAzsZP4OEL&#10;sfbhUpqYI35/5UM0sCqwilQs2liE0drXQX6DtbJR4PcvIzZmGzbJp5Px4ZyuDebui//1WLxis3w2&#10;neQfXxD/djCw3lp+3cdQacxe9ZG/x8dQKcUwf93T4cDTG7Aaij/rA7TuM8OrLlliq9tsYcVAJiow&#10;yoY1nmpnmDoQpdsiNcgZTEKLpF9RBshD5cTTtyoDvaFyLIg3ewYsQ+XD4bWTkTZ8hwqiHq1ijw4Z&#10;Q492GUOPvkt8szwQahEbLNlmmXX0ZRX1ocRNOm/Mvbw1UTLsNSD43J0qPZTqreHCHbydRPdro72h&#10;ZJvrNq5OrvtN8qgj2HxeUijjZcolRRiT2odKCA1q3BtVFxe1UhRanJDyTDl2z4EbF0Lq0GX2kaTS&#10;BNZ8kk/QpTlmbKl4iCTThqzF6rfOh3Puq2Qt6ifcGzQOly6owDU05a6j0erOFA/onc6kweqtuKhh&#10;6Yr7cM0dOg1ix+sAp5Vx3zO2QVtdZv6fNXcyY+p3jTY+Pzg6gliIm6MJRgiyPzy5G57odXNmEDA4&#10;DW9xSfJBdcvSmeYrHgWn5BVHXAv4Ru0E8CltzgL2OMKzQsjT07jGOAbuV/rGCjIe2YNIbrdfubOM&#10;4FlmAc35s+lGB190TRd5IoEkS5ranK6DKWvqyBGxhFO7wRhLM+X/n2d4faV59gX1hfaiJEsNfDCl&#10;cMddUrvh++Opn0/n0xnRCbzeDS/A0M04goNGUwscVXeEdA+xbnpFvr3A7LvVC6xOQLcMhu9n6OnD&#10;g5Ikp/QXWWLEo6Xm8SIvlA/J+ooXMtXBJI7gxP5eI9ZoNEjSJSqot51400s+V5qtPKnK+D7tlVPj&#10;/6FyrxE9Gx165abWxj0XmeqbQpnkuxpO0AyLeFdDw5rpKBxZG99keIpGDNpnM711h/voYPe4P/kX&#10;AAD//wMAUEsDBBQABgAIAAAAIQAVEW+a3QAAAAcBAAAPAAAAZHJzL2Rvd25yZXYueG1sTI9BS8NA&#10;EIXvgv9hGcGb3URbLWk2pRT1VARbQXqbJtMkNDsbstsk/fdOvehlmMcb3nwvXY62UT11vnZsIJ5E&#10;oIhzV9RcGvjavT3MQfmAXGDjmAxcyMMyu71JMSncwJ/Ub0OpJIR9ggaqENpEa59XZNFPXEss3tF1&#10;FoPIrtRFh4OE20Y/RtGztlizfKiwpXVF+Wl7tgbeBxxWT/Frvzkd15f9bvbxvYnJmPu7cbUAFWgM&#10;f8dwxRd0yITp4M5ceNUYkCLhd169eDoXfZBt9hJNQWep/s+f/QAAAP//AwBQSwECLQAUAAYACAAA&#10;ACEAtoM4kv4AAADhAQAAEwAAAAAAAAAAAAAAAAAAAAAAW0NvbnRlbnRfVHlwZXNdLnhtbFBLAQIt&#10;ABQABgAIAAAAIQA4/SH/1gAAAJQBAAALAAAAAAAAAAAAAAAAAC8BAABfcmVscy8ucmVsc1BLAQIt&#10;ABQABgAIAAAAIQBo2irAWgQAACQMAAAOAAAAAAAAAAAAAAAAAC4CAABkcnMvZTJvRG9jLnhtbFBL&#10;AQItABQABgAIAAAAIQAVEW+a3QAAAAcBAAAPAAAAAAAAAAAAAAAAALQGAABkcnMvZG93bnJldi54&#10;bWxQSwUGAAAAAAQABADzAAAAvgcAAAAA&#10;">
              <v:shape id="Graphic 2" o:spid="_x0000_s1027" style="position:absolute;left:2700;top:2700;width:70200;height:97019;visibility:visible;mso-wrap-style:square;v-text-anchor:middle" coordsize="5265039,727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MTwwAAANsAAAAPAAAAZHJzL2Rvd25yZXYueG1sRI9Ba8JA&#10;FITvQv/D8gQvohsV1EZXKWJJD16S9ge8Zp/ZYPZtyK4m/fduodDjMDPfMPvjYBvxoM7XjhUs5gkI&#10;4tLpmisFX5/vsy0IH5A1No5JwQ95OB5eRntMtes5p0cRKhEh7FNUYEJoUyl9aciin7uWOHpX11kM&#10;UXaV1B32EW4buUyStbRYc1ww2NLJUHkr7lbB1E9LnZmcijNfvl+zJOsv55VSk/HwtgMRaAj/4b/2&#10;h1aw3MDvl/gD5OEJAAD//wMAUEsBAi0AFAAGAAgAAAAhANvh9svuAAAAhQEAABMAAAAAAAAAAAAA&#10;AAAAAAAAAFtDb250ZW50X1R5cGVzXS54bWxQSwECLQAUAAYACAAAACEAWvQsW78AAAAVAQAACwAA&#10;AAAAAAAAAAAAAAAfAQAAX3JlbHMvLnJlbHNQSwECLQAUAAYACAAAACEAZYsTE8MAAADbAAAADwAA&#10;AAAAAAAAAAAAAAAHAgAAZHJzL2Rvd25yZXYueG1sUEsFBgAAAAADAAMAtwAAAPcCAAAAAA==&#10;" path="m,l5265039,r,7276529l,7276529,,xe" fillcolor="#2c4ba0 [3204]" stroked="f">
                <v:stroke joinstyle="miter"/>
                <v:path arrowok="t" o:connecttype="custom" o:connectlocs="0,0;7020000,0;7020000,9701966;0,9701966" o:connectangles="0,0,0,0"/>
                <o:lock v:ext="edit" aspectratio="t"/>
              </v:shape>
              <v:rect id="Rectangle 28" o:spid="_x0000_s1028" style="position:absolute;width:2696;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44C3" w14:textId="1EC4F020" w:rsidR="0029388F" w:rsidRDefault="009928B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B50F" w14:textId="207E483F" w:rsidR="00DD2CAE" w:rsidRDefault="00DD2C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02C3" w14:textId="187AEBF1" w:rsidR="00DD2CAE" w:rsidRDefault="00DD2C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AA5C" w14:textId="7A0EAFE1" w:rsidR="00503F50" w:rsidRDefault="00503F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42D2" w14:textId="2B5F1CE6" w:rsidR="00503F50" w:rsidRDefault="00503F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6197" w14:textId="333C4CE8" w:rsidR="00503F50" w:rsidRDefault="00503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0A25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6419211" o:spid="_x0000_i1025" type="#_x0000_t75" style="width:311.45pt;height:311.45pt;visibility:visible;mso-wrap-style:square">
            <v:imagedata r:id="rId1" o:title=""/>
          </v:shape>
        </w:pict>
      </mc:Choice>
      <mc:Fallback>
        <w:drawing>
          <wp:inline distT="0" distB="0" distL="0" distR="0" wp14:anchorId="5B42F3D7" wp14:editId="5B42F3D8">
            <wp:extent cx="3955415" cy="3955415"/>
            <wp:effectExtent l="0" t="0" r="0" b="0"/>
            <wp:docPr id="716419211" name="Picture 71641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8679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5415" cy="3955415"/>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2AEAB9E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246CAE"/>
    <w:multiLevelType w:val="multilevel"/>
    <w:tmpl w:val="E1BA3042"/>
    <w:lvl w:ilvl="0">
      <w:start w:val="1"/>
      <w:numFmt w:val="bullet"/>
      <w:pStyle w:val="Call-outboxHeadingwithicon"/>
      <w:lvlText w:val=""/>
      <w:lvlPicBulletId w:val="0"/>
      <w:lvlJc w:val="left"/>
      <w:pPr>
        <w:tabs>
          <w:tab w:val="num" w:pos="3402"/>
        </w:tabs>
        <w:ind w:left="113" w:firstLine="0"/>
      </w:pPr>
      <w:rPr>
        <w:rFonts w:ascii="Symbol" w:hAnsi="Symbol" w:hint="default"/>
        <w:color w:val="auto"/>
        <w:sz w:val="8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BC3765"/>
    <w:multiLevelType w:val="hybridMultilevel"/>
    <w:tmpl w:val="C9C2CDFC"/>
    <w:lvl w:ilvl="0" w:tplc="B3C66344">
      <w:start w:val="1"/>
      <w:numFmt w:val="lowerLetter"/>
      <w:pStyle w:val="Tablenumbers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23555D1"/>
    <w:multiLevelType w:val="multilevel"/>
    <w:tmpl w:val="1A7C8E08"/>
    <w:lvl w:ilvl="0">
      <w:start w:val="26"/>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Restart w:val="0"/>
      <w:pStyle w:val="CaptionImages"/>
      <w:isLgl/>
      <w:lvlText w:val="Figure %1-%4:"/>
      <w:lvlJc w:val="left"/>
      <w:pPr>
        <w:ind w:left="1134" w:hanging="1134"/>
      </w:pPr>
      <w:rPr>
        <w:rFonts w:hint="default"/>
        <w:color w:val="2C4BA0" w:themeColor="accent1"/>
      </w:rPr>
    </w:lvl>
    <w:lvl w:ilvl="4">
      <w:start w:val="1"/>
      <w:numFmt w:val="decimal"/>
      <w:lvlRestart w:val="0"/>
      <w:pStyle w:val="CaptionTables"/>
      <w:isLgl/>
      <w:lvlText w:val="Table %1-%5:"/>
      <w:lvlJc w:val="left"/>
      <w:pPr>
        <w:ind w:left="4111" w:hanging="1134"/>
      </w:pPr>
      <w:rPr>
        <w:rFonts w:hint="default"/>
        <w:color w:val="2C4BA0" w:themeColor="accent1"/>
      </w:rPr>
    </w:lvl>
    <w:lvl w:ilvl="5">
      <w:start w:val="1"/>
      <w:numFmt w:val="decimal"/>
      <w:pStyle w:val="Heading4"/>
      <w:lvlText w:val="%1.%2.%3.%6."/>
      <w:lvlJc w:val="left"/>
      <w:pPr>
        <w:ind w:left="851" w:hanging="85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7D66B2"/>
    <w:multiLevelType w:val="hybridMultilevel"/>
    <w:tmpl w:val="29DC4446"/>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AC2735F"/>
    <w:multiLevelType w:val="multilevel"/>
    <w:tmpl w:val="0A384DEA"/>
    <w:styleLink w:val="ListHeadings"/>
    <w:lvl w:ilvl="0">
      <w:start w:val="1"/>
      <w:numFmt w:val="decimal"/>
      <w:lvlText w:val="%1."/>
      <w:lvlJc w:val="left"/>
      <w:pPr>
        <w:tabs>
          <w:tab w:val="num" w:pos="360"/>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0"/>
      <w:isLgl/>
      <w:lvlText w:val="Figure %1-%4:"/>
      <w:lvlJc w:val="left"/>
      <w:pPr>
        <w:ind w:left="1134" w:hanging="1134"/>
      </w:pPr>
      <w:rPr>
        <w:rFonts w:hint="default"/>
        <w:color w:val="2C4BA0" w:themeColor="accent1"/>
      </w:rPr>
    </w:lvl>
    <w:lvl w:ilvl="4">
      <w:start w:val="1"/>
      <w:numFmt w:val="decimal"/>
      <w:lvlRestart w:val="0"/>
      <w:isLgl/>
      <w:lvlText w:val="Table %1-%5:"/>
      <w:lvlJc w:val="left"/>
      <w:pPr>
        <w:ind w:left="4111" w:hanging="1134"/>
      </w:pPr>
      <w:rPr>
        <w:rFonts w:hint="default"/>
        <w:color w:val="2C4BA0" w:themeColor="accent1"/>
      </w:rPr>
    </w:lvl>
    <w:lvl w:ilvl="5">
      <w:start w:val="1"/>
      <w:numFmt w:val="decimal"/>
      <w:lvlText w:val="%1.%2.%3.%6."/>
      <w:lvlJc w:val="left"/>
      <w:pPr>
        <w:ind w:left="851" w:hanging="85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6F37EA"/>
    <w:multiLevelType w:val="multilevel"/>
    <w:tmpl w:val="AD006BE8"/>
    <w:styleLink w:val="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1A4C3D"/>
    <w:multiLevelType w:val="hybridMultilevel"/>
    <w:tmpl w:val="FEA802B0"/>
    <w:lvl w:ilvl="0" w:tplc="53881104">
      <w:start w:val="1"/>
      <w:numFmt w:val="bullet"/>
      <w:lvlText w:val=""/>
      <w:lvlJc w:val="left"/>
      <w:pPr>
        <w:ind w:left="1140" w:hanging="360"/>
      </w:pPr>
      <w:rPr>
        <w:rFonts w:ascii="Symbol" w:hAnsi="Symbol"/>
      </w:rPr>
    </w:lvl>
    <w:lvl w:ilvl="1" w:tplc="3516D826">
      <w:start w:val="1"/>
      <w:numFmt w:val="bullet"/>
      <w:lvlText w:val=""/>
      <w:lvlJc w:val="left"/>
      <w:pPr>
        <w:ind w:left="1140" w:hanging="360"/>
      </w:pPr>
      <w:rPr>
        <w:rFonts w:ascii="Symbol" w:hAnsi="Symbol"/>
      </w:rPr>
    </w:lvl>
    <w:lvl w:ilvl="2" w:tplc="CB449ED8">
      <w:start w:val="1"/>
      <w:numFmt w:val="bullet"/>
      <w:lvlText w:val=""/>
      <w:lvlJc w:val="left"/>
      <w:pPr>
        <w:ind w:left="1140" w:hanging="360"/>
      </w:pPr>
      <w:rPr>
        <w:rFonts w:ascii="Symbol" w:hAnsi="Symbol"/>
      </w:rPr>
    </w:lvl>
    <w:lvl w:ilvl="3" w:tplc="4D10B47E">
      <w:start w:val="1"/>
      <w:numFmt w:val="bullet"/>
      <w:lvlText w:val=""/>
      <w:lvlJc w:val="left"/>
      <w:pPr>
        <w:ind w:left="1140" w:hanging="360"/>
      </w:pPr>
      <w:rPr>
        <w:rFonts w:ascii="Symbol" w:hAnsi="Symbol"/>
      </w:rPr>
    </w:lvl>
    <w:lvl w:ilvl="4" w:tplc="DB3888F2">
      <w:start w:val="1"/>
      <w:numFmt w:val="bullet"/>
      <w:lvlText w:val=""/>
      <w:lvlJc w:val="left"/>
      <w:pPr>
        <w:ind w:left="1140" w:hanging="360"/>
      </w:pPr>
      <w:rPr>
        <w:rFonts w:ascii="Symbol" w:hAnsi="Symbol"/>
      </w:rPr>
    </w:lvl>
    <w:lvl w:ilvl="5" w:tplc="452E6A62">
      <w:start w:val="1"/>
      <w:numFmt w:val="bullet"/>
      <w:lvlText w:val=""/>
      <w:lvlJc w:val="left"/>
      <w:pPr>
        <w:ind w:left="1140" w:hanging="360"/>
      </w:pPr>
      <w:rPr>
        <w:rFonts w:ascii="Symbol" w:hAnsi="Symbol"/>
      </w:rPr>
    </w:lvl>
    <w:lvl w:ilvl="6" w:tplc="99501E7E">
      <w:start w:val="1"/>
      <w:numFmt w:val="bullet"/>
      <w:lvlText w:val=""/>
      <w:lvlJc w:val="left"/>
      <w:pPr>
        <w:ind w:left="1140" w:hanging="360"/>
      </w:pPr>
      <w:rPr>
        <w:rFonts w:ascii="Symbol" w:hAnsi="Symbol"/>
      </w:rPr>
    </w:lvl>
    <w:lvl w:ilvl="7" w:tplc="3F201FEE">
      <w:start w:val="1"/>
      <w:numFmt w:val="bullet"/>
      <w:lvlText w:val=""/>
      <w:lvlJc w:val="left"/>
      <w:pPr>
        <w:ind w:left="1140" w:hanging="360"/>
      </w:pPr>
      <w:rPr>
        <w:rFonts w:ascii="Symbol" w:hAnsi="Symbol"/>
      </w:rPr>
    </w:lvl>
    <w:lvl w:ilvl="8" w:tplc="5E7C5666">
      <w:start w:val="1"/>
      <w:numFmt w:val="bullet"/>
      <w:lvlText w:val=""/>
      <w:lvlJc w:val="left"/>
      <w:pPr>
        <w:ind w:left="1140" w:hanging="360"/>
      </w:pPr>
      <w:rPr>
        <w:rFonts w:ascii="Symbol" w:hAnsi="Symbol"/>
      </w:rPr>
    </w:lvl>
  </w:abstractNum>
  <w:abstractNum w:abstractNumId="9" w15:restartNumberingAfterBreak="0">
    <w:nsid w:val="2D177CE4"/>
    <w:multiLevelType w:val="multilevel"/>
    <w:tmpl w:val="30C2CC96"/>
    <w:numStyleLink w:val="TableNumbersBullets"/>
  </w:abstractNum>
  <w:abstractNum w:abstractNumId="10" w15:restartNumberingAfterBreak="0">
    <w:nsid w:val="354E39F1"/>
    <w:multiLevelType w:val="multilevel"/>
    <w:tmpl w:val="30C2CC96"/>
    <w:styleLink w:val="TableNumbersBullets"/>
    <w:lvl w:ilvl="0">
      <w:start w:val="1"/>
      <w:numFmt w:val="decimal"/>
      <w:pStyle w:val="TableNumbers"/>
      <w:lvlText w:val="%1."/>
      <w:lvlJc w:val="left"/>
      <w:pPr>
        <w:ind w:left="284" w:hanging="284"/>
      </w:pPr>
      <w:rPr>
        <w:rFonts w:hint="default"/>
      </w:rPr>
    </w:lvl>
    <w:lvl w:ilvl="1">
      <w:start w:val="1"/>
      <w:numFmt w:val="bullet"/>
      <w:pStyle w:val="TableBullet"/>
      <w:lvlText w:val="•"/>
      <w:lvlJc w:val="left"/>
      <w:pPr>
        <w:ind w:left="284" w:hanging="284"/>
      </w:pPr>
      <w:rPr>
        <w:rFonts w:ascii="Calibri" w:hAnsi="Calibri" w:hint="default"/>
        <w:color w:val="2C4BA0" w:themeColor="accent1"/>
      </w:rPr>
    </w:lvl>
    <w:lvl w:ilvl="2">
      <w:start w:val="1"/>
      <w:numFmt w:val="bullet"/>
      <w:pStyle w:val="TableBullet2"/>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D53A78"/>
    <w:multiLevelType w:val="hybridMultilevel"/>
    <w:tmpl w:val="5874E09A"/>
    <w:lvl w:ilvl="0" w:tplc="2C88A3FA">
      <w:start w:val="1"/>
      <w:numFmt w:val="decimal"/>
      <w:pStyle w:val="ContentBulletsNumber"/>
      <w:lvlText w:val="%1."/>
      <w:lvlJc w:val="left"/>
      <w:pPr>
        <w:ind w:left="1418" w:hanging="851"/>
      </w:pPr>
      <w:rPr>
        <w:rFonts w:ascii="Jacobs Chronos" w:hAnsi="Jacobs Chronos" w:cs="Jacobs Chronos" w:hint="default"/>
        <w:b w:val="0"/>
        <w:bCs w:val="0"/>
        <w:i w:val="0"/>
        <w:iCs w:val="0"/>
        <w:color w:val="auto"/>
        <w:sz w:val="20"/>
        <w:szCs w:val="20"/>
      </w:rPr>
    </w:lvl>
    <w:lvl w:ilvl="1" w:tplc="BC964152" w:tentative="1">
      <w:start w:val="1"/>
      <w:numFmt w:val="lowerLetter"/>
      <w:lvlText w:val="%2."/>
      <w:lvlJc w:val="left"/>
      <w:pPr>
        <w:ind w:left="1440" w:hanging="360"/>
      </w:pPr>
    </w:lvl>
    <w:lvl w:ilvl="2" w:tplc="4A923C9A" w:tentative="1">
      <w:start w:val="1"/>
      <w:numFmt w:val="lowerRoman"/>
      <w:lvlText w:val="%3."/>
      <w:lvlJc w:val="right"/>
      <w:pPr>
        <w:ind w:left="2160" w:hanging="180"/>
      </w:pPr>
    </w:lvl>
    <w:lvl w:ilvl="3" w:tplc="7226ADAE" w:tentative="1">
      <w:start w:val="1"/>
      <w:numFmt w:val="decimal"/>
      <w:lvlText w:val="%4."/>
      <w:lvlJc w:val="left"/>
      <w:pPr>
        <w:ind w:left="2880" w:hanging="360"/>
      </w:pPr>
    </w:lvl>
    <w:lvl w:ilvl="4" w:tplc="986AA23C" w:tentative="1">
      <w:start w:val="1"/>
      <w:numFmt w:val="lowerLetter"/>
      <w:lvlText w:val="%5."/>
      <w:lvlJc w:val="left"/>
      <w:pPr>
        <w:ind w:left="3600" w:hanging="360"/>
      </w:pPr>
    </w:lvl>
    <w:lvl w:ilvl="5" w:tplc="79B6C6A2" w:tentative="1">
      <w:start w:val="1"/>
      <w:numFmt w:val="lowerRoman"/>
      <w:lvlText w:val="%6."/>
      <w:lvlJc w:val="right"/>
      <w:pPr>
        <w:ind w:left="4320" w:hanging="180"/>
      </w:pPr>
    </w:lvl>
    <w:lvl w:ilvl="6" w:tplc="C778D110" w:tentative="1">
      <w:start w:val="1"/>
      <w:numFmt w:val="decimal"/>
      <w:lvlText w:val="%7."/>
      <w:lvlJc w:val="left"/>
      <w:pPr>
        <w:ind w:left="5040" w:hanging="360"/>
      </w:pPr>
    </w:lvl>
    <w:lvl w:ilvl="7" w:tplc="FA52D17C" w:tentative="1">
      <w:start w:val="1"/>
      <w:numFmt w:val="lowerLetter"/>
      <w:lvlText w:val="%8."/>
      <w:lvlJc w:val="left"/>
      <w:pPr>
        <w:ind w:left="5760" w:hanging="360"/>
      </w:pPr>
    </w:lvl>
    <w:lvl w:ilvl="8" w:tplc="009CB5A2" w:tentative="1">
      <w:start w:val="1"/>
      <w:numFmt w:val="lowerRoman"/>
      <w:lvlText w:val="%9."/>
      <w:lvlJc w:val="right"/>
      <w:pPr>
        <w:ind w:left="6480" w:hanging="180"/>
      </w:pPr>
    </w:lvl>
  </w:abstractNum>
  <w:abstractNum w:abstractNumId="12" w15:restartNumberingAfterBreak="0">
    <w:nsid w:val="4F791D93"/>
    <w:multiLevelType w:val="multilevel"/>
    <w:tmpl w:val="AC4082C2"/>
    <w:lvl w:ilvl="0">
      <w:start w:val="2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4BD21DD"/>
    <w:multiLevelType w:val="multilevel"/>
    <w:tmpl w:val="4516BD58"/>
    <w:numStyleLink w:val="Bullets"/>
  </w:abstractNum>
  <w:abstractNum w:abstractNumId="14" w15:restartNumberingAfterBreak="0">
    <w:nsid w:val="60E1502C"/>
    <w:multiLevelType w:val="multilevel"/>
    <w:tmpl w:val="4516BD58"/>
    <w:styleLink w:val="Bullets"/>
    <w:lvl w:ilvl="0">
      <w:start w:val="1"/>
      <w:numFmt w:val="bullet"/>
      <w:pStyle w:val="ListBullet"/>
      <w:lvlText w:val="•"/>
      <w:lvlJc w:val="left"/>
      <w:pPr>
        <w:ind w:left="284" w:hanging="284"/>
      </w:pPr>
      <w:rPr>
        <w:rFonts w:ascii="Calibri" w:hAnsi="Calibri" w:hint="default"/>
        <w:color w:val="2C4BA0" w:themeColor="accent1"/>
      </w:rPr>
    </w:lvl>
    <w:lvl w:ilvl="1">
      <w:start w:val="1"/>
      <w:numFmt w:val="bullet"/>
      <w:pStyle w:val="ListBullet2"/>
      <w:lvlText w:val="-"/>
      <w:lvlJc w:val="left"/>
      <w:pPr>
        <w:ind w:left="567" w:hanging="283"/>
      </w:pPr>
      <w:rPr>
        <w:rFonts w:ascii="Merriweather" w:hAnsi="Merriweather" w:hint="default"/>
        <w:color w:val="auto"/>
      </w:rPr>
    </w:lvl>
    <w:lvl w:ilvl="2">
      <w:start w:val="1"/>
      <w:numFmt w:val="bullet"/>
      <w:pStyle w:val="ListBullet3"/>
      <w:lvlText w:val="–"/>
      <w:lvlJc w:val="left"/>
      <w:pPr>
        <w:ind w:left="851" w:hanging="284"/>
      </w:pPr>
      <w:rPr>
        <w:rFonts w:ascii="Calibri" w:hAnsi="Calibri" w:hint="default"/>
        <w:color w:val="auto"/>
      </w:rPr>
    </w:lvl>
    <w:lvl w:ilvl="3">
      <w:start w:val="1"/>
      <w:numFmt w:val="bullet"/>
      <w:pStyle w:val="ListBullet4"/>
      <w:lvlText w:val="–"/>
      <w:lvlJc w:val="left"/>
      <w:pPr>
        <w:ind w:left="1134" w:hanging="283"/>
      </w:pPr>
      <w:rPr>
        <w:rFonts w:ascii="Calibri" w:hAnsi="Calibri"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 w15:restartNumberingAfterBreak="0">
    <w:nsid w:val="77413AD9"/>
    <w:multiLevelType w:val="multilevel"/>
    <w:tmpl w:val="2842FAB0"/>
    <w:styleLink w:val="AppendixHeadings"/>
    <w:lvl w:ilvl="0">
      <w:start w:val="1"/>
      <w:numFmt w:val="upperLetter"/>
      <w:lvlText w:val="Appendix %1"/>
      <w:lvlJc w:val="left"/>
      <w:pPr>
        <w:ind w:left="0" w:firstLine="0"/>
      </w:pPr>
      <w:rPr>
        <w:rFonts w:ascii="Century Gothic" w:hAnsi="Century Gothic" w:hint="default"/>
        <w:b/>
        <w:i w:val="0"/>
        <w:sz w:val="8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4897668">
    <w:abstractNumId w:val="14"/>
  </w:num>
  <w:num w:numId="2" w16cid:durableId="445738277">
    <w:abstractNumId w:val="6"/>
  </w:num>
  <w:num w:numId="3" w16cid:durableId="1793594145">
    <w:abstractNumId w:val="5"/>
  </w:num>
  <w:num w:numId="4" w16cid:durableId="1354846621">
    <w:abstractNumId w:val="7"/>
  </w:num>
  <w:num w:numId="5" w16cid:durableId="1348822989">
    <w:abstractNumId w:val="10"/>
  </w:num>
  <w:num w:numId="6" w16cid:durableId="1564754712">
    <w:abstractNumId w:val="9"/>
  </w:num>
  <w:num w:numId="7" w16cid:durableId="2132821855">
    <w:abstractNumId w:val="15"/>
  </w:num>
  <w:num w:numId="8" w16cid:durableId="59980708">
    <w:abstractNumId w:val="12"/>
  </w:num>
  <w:num w:numId="9" w16cid:durableId="1803420048">
    <w:abstractNumId w:val="11"/>
  </w:num>
  <w:num w:numId="10" w16cid:durableId="1326783071">
    <w:abstractNumId w:val="1"/>
  </w:num>
  <w:num w:numId="11" w16cid:durableId="1797136046">
    <w:abstractNumId w:val="13"/>
  </w:num>
  <w:num w:numId="12" w16cid:durableId="1832678356">
    <w:abstractNumId w:val="3"/>
  </w:num>
  <w:num w:numId="13" w16cid:durableId="1320571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7295636">
    <w:abstractNumId w:val="0"/>
  </w:num>
  <w:num w:numId="15" w16cid:durableId="278294521">
    <w:abstractNumId w:val="1"/>
  </w:num>
  <w:num w:numId="16" w16cid:durableId="452405367">
    <w:abstractNumId w:val="4"/>
  </w:num>
  <w:num w:numId="17" w16cid:durableId="320282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1203106">
    <w:abstractNumId w:val="8"/>
  </w:num>
  <w:num w:numId="19" w16cid:durableId="110240999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ZNLQLAaWH6JFYzBVL4VbV60wD2V6kHCsAiPokWsu8EYPT1RlXeQeEg1Nx45viM95C1b0X6LDKEn77Hx9e+NU7Q==" w:salt="yT+SzcLjIN95w2PMLVahww=="/>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BC"/>
    <w:rsid w:val="00000027"/>
    <w:rsid w:val="00000208"/>
    <w:rsid w:val="00001AFD"/>
    <w:rsid w:val="00002FB0"/>
    <w:rsid w:val="000043ED"/>
    <w:rsid w:val="0000450E"/>
    <w:rsid w:val="00005052"/>
    <w:rsid w:val="0000522B"/>
    <w:rsid w:val="00005430"/>
    <w:rsid w:val="00014015"/>
    <w:rsid w:val="000145D0"/>
    <w:rsid w:val="00016029"/>
    <w:rsid w:val="00017857"/>
    <w:rsid w:val="00017894"/>
    <w:rsid w:val="0002083E"/>
    <w:rsid w:val="00020C22"/>
    <w:rsid w:val="0002162B"/>
    <w:rsid w:val="00022D2A"/>
    <w:rsid w:val="000266A6"/>
    <w:rsid w:val="00027B36"/>
    <w:rsid w:val="00027B73"/>
    <w:rsid w:val="00027F9B"/>
    <w:rsid w:val="000300AF"/>
    <w:rsid w:val="000320D4"/>
    <w:rsid w:val="00032C89"/>
    <w:rsid w:val="00033034"/>
    <w:rsid w:val="000331C6"/>
    <w:rsid w:val="00033E7C"/>
    <w:rsid w:val="0003409D"/>
    <w:rsid w:val="00034763"/>
    <w:rsid w:val="00034B6D"/>
    <w:rsid w:val="00034E1B"/>
    <w:rsid w:val="000352D3"/>
    <w:rsid w:val="0003542E"/>
    <w:rsid w:val="00035B28"/>
    <w:rsid w:val="00037B62"/>
    <w:rsid w:val="00037C13"/>
    <w:rsid w:val="00040C22"/>
    <w:rsid w:val="00040F6E"/>
    <w:rsid w:val="00042346"/>
    <w:rsid w:val="00043644"/>
    <w:rsid w:val="00044523"/>
    <w:rsid w:val="000445C5"/>
    <w:rsid w:val="0004624B"/>
    <w:rsid w:val="00047621"/>
    <w:rsid w:val="00047962"/>
    <w:rsid w:val="00047B5C"/>
    <w:rsid w:val="000512AB"/>
    <w:rsid w:val="0005153A"/>
    <w:rsid w:val="000534BA"/>
    <w:rsid w:val="0005369B"/>
    <w:rsid w:val="00055D1B"/>
    <w:rsid w:val="00056AF5"/>
    <w:rsid w:val="00057654"/>
    <w:rsid w:val="00060483"/>
    <w:rsid w:val="00061199"/>
    <w:rsid w:val="000627A7"/>
    <w:rsid w:val="00064492"/>
    <w:rsid w:val="00064DA6"/>
    <w:rsid w:val="00067738"/>
    <w:rsid w:val="000677D6"/>
    <w:rsid w:val="00067C08"/>
    <w:rsid w:val="00071E84"/>
    <w:rsid w:val="000724AE"/>
    <w:rsid w:val="00072724"/>
    <w:rsid w:val="000742F4"/>
    <w:rsid w:val="000748F6"/>
    <w:rsid w:val="00076262"/>
    <w:rsid w:val="00077558"/>
    <w:rsid w:val="000777B2"/>
    <w:rsid w:val="0008037D"/>
    <w:rsid w:val="00080461"/>
    <w:rsid w:val="0008093F"/>
    <w:rsid w:val="00083983"/>
    <w:rsid w:val="00083B67"/>
    <w:rsid w:val="00084150"/>
    <w:rsid w:val="000846C7"/>
    <w:rsid w:val="0008724B"/>
    <w:rsid w:val="00090538"/>
    <w:rsid w:val="00090C8C"/>
    <w:rsid w:val="00090E12"/>
    <w:rsid w:val="00091020"/>
    <w:rsid w:val="00092136"/>
    <w:rsid w:val="00093BFD"/>
    <w:rsid w:val="00097EDE"/>
    <w:rsid w:val="000A23B3"/>
    <w:rsid w:val="000A2B06"/>
    <w:rsid w:val="000A2C21"/>
    <w:rsid w:val="000A6BFB"/>
    <w:rsid w:val="000B0537"/>
    <w:rsid w:val="000B13A3"/>
    <w:rsid w:val="000B1CF7"/>
    <w:rsid w:val="000B2822"/>
    <w:rsid w:val="000B497F"/>
    <w:rsid w:val="000B5088"/>
    <w:rsid w:val="000B6AE7"/>
    <w:rsid w:val="000B6B20"/>
    <w:rsid w:val="000B6D30"/>
    <w:rsid w:val="000C0821"/>
    <w:rsid w:val="000C2C22"/>
    <w:rsid w:val="000C47EE"/>
    <w:rsid w:val="000C4982"/>
    <w:rsid w:val="000C5059"/>
    <w:rsid w:val="000C53C2"/>
    <w:rsid w:val="000C5495"/>
    <w:rsid w:val="000C6D31"/>
    <w:rsid w:val="000D17FB"/>
    <w:rsid w:val="000D2C68"/>
    <w:rsid w:val="000D3156"/>
    <w:rsid w:val="000D34B9"/>
    <w:rsid w:val="000D3E7E"/>
    <w:rsid w:val="000D422D"/>
    <w:rsid w:val="000D4533"/>
    <w:rsid w:val="000D5684"/>
    <w:rsid w:val="000D66B8"/>
    <w:rsid w:val="000E0CB4"/>
    <w:rsid w:val="000E21B9"/>
    <w:rsid w:val="000E2D78"/>
    <w:rsid w:val="000E3C78"/>
    <w:rsid w:val="000E5388"/>
    <w:rsid w:val="000E5739"/>
    <w:rsid w:val="000F0880"/>
    <w:rsid w:val="000F0B38"/>
    <w:rsid w:val="000F0E7F"/>
    <w:rsid w:val="000F124A"/>
    <w:rsid w:val="000F1686"/>
    <w:rsid w:val="000F33BA"/>
    <w:rsid w:val="000F48C1"/>
    <w:rsid w:val="000F7D40"/>
    <w:rsid w:val="001004EA"/>
    <w:rsid w:val="00100B16"/>
    <w:rsid w:val="00101C21"/>
    <w:rsid w:val="0010279F"/>
    <w:rsid w:val="00103ACB"/>
    <w:rsid w:val="001064D6"/>
    <w:rsid w:val="00106E55"/>
    <w:rsid w:val="00110087"/>
    <w:rsid w:val="001103C9"/>
    <w:rsid w:val="00110CBF"/>
    <w:rsid w:val="0011259A"/>
    <w:rsid w:val="00112E8F"/>
    <w:rsid w:val="001130DB"/>
    <w:rsid w:val="001159D8"/>
    <w:rsid w:val="00115BF9"/>
    <w:rsid w:val="00116056"/>
    <w:rsid w:val="00116731"/>
    <w:rsid w:val="00116AB9"/>
    <w:rsid w:val="0011764B"/>
    <w:rsid w:val="001176C4"/>
    <w:rsid w:val="00120585"/>
    <w:rsid w:val="00121428"/>
    <w:rsid w:val="0012199A"/>
    <w:rsid w:val="00121E21"/>
    <w:rsid w:val="00122707"/>
    <w:rsid w:val="00125800"/>
    <w:rsid w:val="00125ABC"/>
    <w:rsid w:val="001268BC"/>
    <w:rsid w:val="00126C65"/>
    <w:rsid w:val="0012710A"/>
    <w:rsid w:val="001308AD"/>
    <w:rsid w:val="00131C3A"/>
    <w:rsid w:val="00132002"/>
    <w:rsid w:val="00132747"/>
    <w:rsid w:val="00132861"/>
    <w:rsid w:val="00132FE2"/>
    <w:rsid w:val="001332A5"/>
    <w:rsid w:val="00133B8B"/>
    <w:rsid w:val="00133D5F"/>
    <w:rsid w:val="0013534E"/>
    <w:rsid w:val="00136794"/>
    <w:rsid w:val="00136A6C"/>
    <w:rsid w:val="0013790D"/>
    <w:rsid w:val="001410EF"/>
    <w:rsid w:val="001411C2"/>
    <w:rsid w:val="00142307"/>
    <w:rsid w:val="00143205"/>
    <w:rsid w:val="00145DFD"/>
    <w:rsid w:val="00145E53"/>
    <w:rsid w:val="001461F7"/>
    <w:rsid w:val="00146358"/>
    <w:rsid w:val="00146955"/>
    <w:rsid w:val="00146E0F"/>
    <w:rsid w:val="00147837"/>
    <w:rsid w:val="00153C86"/>
    <w:rsid w:val="00157717"/>
    <w:rsid w:val="00157FC0"/>
    <w:rsid w:val="001605BB"/>
    <w:rsid w:val="00160A47"/>
    <w:rsid w:val="001610B1"/>
    <w:rsid w:val="001621F6"/>
    <w:rsid w:val="00162AA3"/>
    <w:rsid w:val="00162EA3"/>
    <w:rsid w:val="001641CD"/>
    <w:rsid w:val="00165C9D"/>
    <w:rsid w:val="001673B1"/>
    <w:rsid w:val="001705A1"/>
    <w:rsid w:val="00172235"/>
    <w:rsid w:val="00172724"/>
    <w:rsid w:val="001731D2"/>
    <w:rsid w:val="0017533E"/>
    <w:rsid w:val="00175A1F"/>
    <w:rsid w:val="00175AC6"/>
    <w:rsid w:val="00176649"/>
    <w:rsid w:val="00177144"/>
    <w:rsid w:val="00177A5E"/>
    <w:rsid w:val="00177B8C"/>
    <w:rsid w:val="00177D52"/>
    <w:rsid w:val="0018346A"/>
    <w:rsid w:val="00184020"/>
    <w:rsid w:val="0018501A"/>
    <w:rsid w:val="00192AC2"/>
    <w:rsid w:val="00196482"/>
    <w:rsid w:val="001A0911"/>
    <w:rsid w:val="001A0D77"/>
    <w:rsid w:val="001A0F01"/>
    <w:rsid w:val="001A171B"/>
    <w:rsid w:val="001A48E6"/>
    <w:rsid w:val="001A5E20"/>
    <w:rsid w:val="001A6B03"/>
    <w:rsid w:val="001B080D"/>
    <w:rsid w:val="001B4984"/>
    <w:rsid w:val="001B63F7"/>
    <w:rsid w:val="001B6963"/>
    <w:rsid w:val="001B6B39"/>
    <w:rsid w:val="001B72EC"/>
    <w:rsid w:val="001C192B"/>
    <w:rsid w:val="001C2CB4"/>
    <w:rsid w:val="001C5F38"/>
    <w:rsid w:val="001C7835"/>
    <w:rsid w:val="001D0056"/>
    <w:rsid w:val="001D0D78"/>
    <w:rsid w:val="001D2FD1"/>
    <w:rsid w:val="001D3876"/>
    <w:rsid w:val="001D4789"/>
    <w:rsid w:val="001D5C06"/>
    <w:rsid w:val="001D7E40"/>
    <w:rsid w:val="001E0233"/>
    <w:rsid w:val="001E06FC"/>
    <w:rsid w:val="001E1468"/>
    <w:rsid w:val="001E2268"/>
    <w:rsid w:val="001E3681"/>
    <w:rsid w:val="001E5312"/>
    <w:rsid w:val="001E7402"/>
    <w:rsid w:val="001E7625"/>
    <w:rsid w:val="001F0465"/>
    <w:rsid w:val="001F13C1"/>
    <w:rsid w:val="001F3A21"/>
    <w:rsid w:val="001F446D"/>
    <w:rsid w:val="001F51CE"/>
    <w:rsid w:val="001F648F"/>
    <w:rsid w:val="001F67DB"/>
    <w:rsid w:val="001F7686"/>
    <w:rsid w:val="001F7F72"/>
    <w:rsid w:val="00200A5D"/>
    <w:rsid w:val="002010DB"/>
    <w:rsid w:val="002013C2"/>
    <w:rsid w:val="002020E6"/>
    <w:rsid w:val="00202149"/>
    <w:rsid w:val="00202322"/>
    <w:rsid w:val="002025DB"/>
    <w:rsid w:val="00202A73"/>
    <w:rsid w:val="00202C09"/>
    <w:rsid w:val="0020367A"/>
    <w:rsid w:val="0020424D"/>
    <w:rsid w:val="00206B5B"/>
    <w:rsid w:val="00207271"/>
    <w:rsid w:val="00207A0D"/>
    <w:rsid w:val="00210857"/>
    <w:rsid w:val="00211772"/>
    <w:rsid w:val="00213698"/>
    <w:rsid w:val="00213776"/>
    <w:rsid w:val="0021481B"/>
    <w:rsid w:val="00215375"/>
    <w:rsid w:val="00215DCA"/>
    <w:rsid w:val="002171FB"/>
    <w:rsid w:val="002172DF"/>
    <w:rsid w:val="002202D0"/>
    <w:rsid w:val="00220D9C"/>
    <w:rsid w:val="0022158A"/>
    <w:rsid w:val="002216E2"/>
    <w:rsid w:val="00221AB7"/>
    <w:rsid w:val="0022205D"/>
    <w:rsid w:val="00222B81"/>
    <w:rsid w:val="002232F0"/>
    <w:rsid w:val="00223C8A"/>
    <w:rsid w:val="00223E68"/>
    <w:rsid w:val="00224FEB"/>
    <w:rsid w:val="00230172"/>
    <w:rsid w:val="00230EEE"/>
    <w:rsid w:val="00231516"/>
    <w:rsid w:val="00231DF7"/>
    <w:rsid w:val="0023407E"/>
    <w:rsid w:val="00234918"/>
    <w:rsid w:val="00234AAC"/>
    <w:rsid w:val="00235B1D"/>
    <w:rsid w:val="00235F6C"/>
    <w:rsid w:val="00236886"/>
    <w:rsid w:val="00236FAD"/>
    <w:rsid w:val="00240A47"/>
    <w:rsid w:val="00241EBF"/>
    <w:rsid w:val="002437D8"/>
    <w:rsid w:val="00246435"/>
    <w:rsid w:val="00246BCF"/>
    <w:rsid w:val="00252B8B"/>
    <w:rsid w:val="002541C8"/>
    <w:rsid w:val="00256484"/>
    <w:rsid w:val="00260DAD"/>
    <w:rsid w:val="002620A0"/>
    <w:rsid w:val="00263C38"/>
    <w:rsid w:val="00265769"/>
    <w:rsid w:val="00266012"/>
    <w:rsid w:val="0026617F"/>
    <w:rsid w:val="002664CE"/>
    <w:rsid w:val="002706B5"/>
    <w:rsid w:val="00270834"/>
    <w:rsid w:val="002717FD"/>
    <w:rsid w:val="00272612"/>
    <w:rsid w:val="002730EB"/>
    <w:rsid w:val="00273670"/>
    <w:rsid w:val="00273843"/>
    <w:rsid w:val="002771C3"/>
    <w:rsid w:val="002806A8"/>
    <w:rsid w:val="002810D2"/>
    <w:rsid w:val="002814E6"/>
    <w:rsid w:val="0028270E"/>
    <w:rsid w:val="00282AB3"/>
    <w:rsid w:val="00283042"/>
    <w:rsid w:val="00283C14"/>
    <w:rsid w:val="00284A0E"/>
    <w:rsid w:val="00286126"/>
    <w:rsid w:val="0028675D"/>
    <w:rsid w:val="00286A6F"/>
    <w:rsid w:val="00287222"/>
    <w:rsid w:val="0028752A"/>
    <w:rsid w:val="00287CD5"/>
    <w:rsid w:val="00287EEF"/>
    <w:rsid w:val="0029092F"/>
    <w:rsid w:val="002910F8"/>
    <w:rsid w:val="0029120A"/>
    <w:rsid w:val="002922A9"/>
    <w:rsid w:val="0029388F"/>
    <w:rsid w:val="0029478F"/>
    <w:rsid w:val="00295712"/>
    <w:rsid w:val="00295B4C"/>
    <w:rsid w:val="00296155"/>
    <w:rsid w:val="00297BD7"/>
    <w:rsid w:val="002A0B1F"/>
    <w:rsid w:val="002A0C33"/>
    <w:rsid w:val="002A4464"/>
    <w:rsid w:val="002B0409"/>
    <w:rsid w:val="002B145E"/>
    <w:rsid w:val="002B1628"/>
    <w:rsid w:val="002B211C"/>
    <w:rsid w:val="002B3A48"/>
    <w:rsid w:val="002B4BF5"/>
    <w:rsid w:val="002B6593"/>
    <w:rsid w:val="002C005E"/>
    <w:rsid w:val="002C1BF8"/>
    <w:rsid w:val="002C2645"/>
    <w:rsid w:val="002C4172"/>
    <w:rsid w:val="002C579B"/>
    <w:rsid w:val="002C5A00"/>
    <w:rsid w:val="002C7231"/>
    <w:rsid w:val="002C7AB1"/>
    <w:rsid w:val="002D037B"/>
    <w:rsid w:val="002D1168"/>
    <w:rsid w:val="002D1D27"/>
    <w:rsid w:val="002D30DC"/>
    <w:rsid w:val="002D3E2A"/>
    <w:rsid w:val="002D3FEB"/>
    <w:rsid w:val="002D683C"/>
    <w:rsid w:val="002D7696"/>
    <w:rsid w:val="002E025F"/>
    <w:rsid w:val="002E169B"/>
    <w:rsid w:val="002E2C83"/>
    <w:rsid w:val="002E507B"/>
    <w:rsid w:val="002E548A"/>
    <w:rsid w:val="002E5D6E"/>
    <w:rsid w:val="002F09C0"/>
    <w:rsid w:val="002F0A40"/>
    <w:rsid w:val="002F21C7"/>
    <w:rsid w:val="002F2A71"/>
    <w:rsid w:val="002F3B0B"/>
    <w:rsid w:val="002F4F25"/>
    <w:rsid w:val="002F7B93"/>
    <w:rsid w:val="003032E9"/>
    <w:rsid w:val="0030475E"/>
    <w:rsid w:val="00305171"/>
    <w:rsid w:val="00307255"/>
    <w:rsid w:val="003100F8"/>
    <w:rsid w:val="003115C0"/>
    <w:rsid w:val="003118CD"/>
    <w:rsid w:val="0031340F"/>
    <w:rsid w:val="00313D0F"/>
    <w:rsid w:val="00321EC1"/>
    <w:rsid w:val="0032505C"/>
    <w:rsid w:val="003255EC"/>
    <w:rsid w:val="00326F0B"/>
    <w:rsid w:val="00327417"/>
    <w:rsid w:val="00327C68"/>
    <w:rsid w:val="003300C8"/>
    <w:rsid w:val="00330A64"/>
    <w:rsid w:val="00331C59"/>
    <w:rsid w:val="00333597"/>
    <w:rsid w:val="00333B2F"/>
    <w:rsid w:val="00337222"/>
    <w:rsid w:val="00340406"/>
    <w:rsid w:val="00341D28"/>
    <w:rsid w:val="0034213F"/>
    <w:rsid w:val="00342DD1"/>
    <w:rsid w:val="00343667"/>
    <w:rsid w:val="00343C57"/>
    <w:rsid w:val="0034680A"/>
    <w:rsid w:val="0034790D"/>
    <w:rsid w:val="003479CD"/>
    <w:rsid w:val="003502F2"/>
    <w:rsid w:val="003530B8"/>
    <w:rsid w:val="00353983"/>
    <w:rsid w:val="00354091"/>
    <w:rsid w:val="003546CD"/>
    <w:rsid w:val="00360FBB"/>
    <w:rsid w:val="00361883"/>
    <w:rsid w:val="00362D2E"/>
    <w:rsid w:val="00362F5F"/>
    <w:rsid w:val="003634F3"/>
    <w:rsid w:val="00363FF8"/>
    <w:rsid w:val="003642E8"/>
    <w:rsid w:val="00365427"/>
    <w:rsid w:val="00365D81"/>
    <w:rsid w:val="0036609E"/>
    <w:rsid w:val="0037084D"/>
    <w:rsid w:val="003739FE"/>
    <w:rsid w:val="003771BB"/>
    <w:rsid w:val="0037721D"/>
    <w:rsid w:val="00380170"/>
    <w:rsid w:val="0038065E"/>
    <w:rsid w:val="0038102A"/>
    <w:rsid w:val="00381AA4"/>
    <w:rsid w:val="00382292"/>
    <w:rsid w:val="0038262B"/>
    <w:rsid w:val="0038381C"/>
    <w:rsid w:val="00384EB9"/>
    <w:rsid w:val="00385DC8"/>
    <w:rsid w:val="00386761"/>
    <w:rsid w:val="0038745A"/>
    <w:rsid w:val="00387F49"/>
    <w:rsid w:val="003904C6"/>
    <w:rsid w:val="00391872"/>
    <w:rsid w:val="00391C68"/>
    <w:rsid w:val="00393D20"/>
    <w:rsid w:val="003954E2"/>
    <w:rsid w:val="00396C24"/>
    <w:rsid w:val="003974E4"/>
    <w:rsid w:val="003A065A"/>
    <w:rsid w:val="003A1DF2"/>
    <w:rsid w:val="003A4FB0"/>
    <w:rsid w:val="003A5D4E"/>
    <w:rsid w:val="003A7DCD"/>
    <w:rsid w:val="003A7FE9"/>
    <w:rsid w:val="003B07EC"/>
    <w:rsid w:val="003B2A13"/>
    <w:rsid w:val="003B75D8"/>
    <w:rsid w:val="003C0170"/>
    <w:rsid w:val="003C11ED"/>
    <w:rsid w:val="003C3695"/>
    <w:rsid w:val="003C371A"/>
    <w:rsid w:val="003C3737"/>
    <w:rsid w:val="003C48BD"/>
    <w:rsid w:val="003C58E2"/>
    <w:rsid w:val="003C66D6"/>
    <w:rsid w:val="003D002A"/>
    <w:rsid w:val="003D0DE8"/>
    <w:rsid w:val="003D1FB3"/>
    <w:rsid w:val="003D23A3"/>
    <w:rsid w:val="003D28BC"/>
    <w:rsid w:val="003D5856"/>
    <w:rsid w:val="003D5E42"/>
    <w:rsid w:val="003D6565"/>
    <w:rsid w:val="003D72C2"/>
    <w:rsid w:val="003E15CC"/>
    <w:rsid w:val="003E1629"/>
    <w:rsid w:val="003E1E6F"/>
    <w:rsid w:val="003E2207"/>
    <w:rsid w:val="003E2611"/>
    <w:rsid w:val="003E333C"/>
    <w:rsid w:val="003E34C1"/>
    <w:rsid w:val="003E440D"/>
    <w:rsid w:val="003E6EEB"/>
    <w:rsid w:val="003E731D"/>
    <w:rsid w:val="003E7BE8"/>
    <w:rsid w:val="003F0122"/>
    <w:rsid w:val="003F0265"/>
    <w:rsid w:val="003F068B"/>
    <w:rsid w:val="003F1D9D"/>
    <w:rsid w:val="003F344E"/>
    <w:rsid w:val="003F3964"/>
    <w:rsid w:val="003F39EE"/>
    <w:rsid w:val="003F6219"/>
    <w:rsid w:val="00400569"/>
    <w:rsid w:val="00402160"/>
    <w:rsid w:val="0040271A"/>
    <w:rsid w:val="0040362F"/>
    <w:rsid w:val="0040399B"/>
    <w:rsid w:val="00403B8E"/>
    <w:rsid w:val="00403C38"/>
    <w:rsid w:val="00404E4F"/>
    <w:rsid w:val="00407E3D"/>
    <w:rsid w:val="00411070"/>
    <w:rsid w:val="004129B6"/>
    <w:rsid w:val="00413EF7"/>
    <w:rsid w:val="004168A7"/>
    <w:rsid w:val="0041694D"/>
    <w:rsid w:val="00417B80"/>
    <w:rsid w:val="004201C7"/>
    <w:rsid w:val="0042339A"/>
    <w:rsid w:val="00424A6F"/>
    <w:rsid w:val="0042508F"/>
    <w:rsid w:val="00425260"/>
    <w:rsid w:val="00425415"/>
    <w:rsid w:val="00425795"/>
    <w:rsid w:val="004268AC"/>
    <w:rsid w:val="0043086D"/>
    <w:rsid w:val="00431086"/>
    <w:rsid w:val="004311EA"/>
    <w:rsid w:val="0043211E"/>
    <w:rsid w:val="0043668E"/>
    <w:rsid w:val="004375E9"/>
    <w:rsid w:val="0044056A"/>
    <w:rsid w:val="00440EB3"/>
    <w:rsid w:val="004412EE"/>
    <w:rsid w:val="004429FC"/>
    <w:rsid w:val="00442C47"/>
    <w:rsid w:val="004431BE"/>
    <w:rsid w:val="004432DC"/>
    <w:rsid w:val="00443AAD"/>
    <w:rsid w:val="004445BE"/>
    <w:rsid w:val="0044494A"/>
    <w:rsid w:val="00445B96"/>
    <w:rsid w:val="0044658C"/>
    <w:rsid w:val="004469DC"/>
    <w:rsid w:val="00446D66"/>
    <w:rsid w:val="00450895"/>
    <w:rsid w:val="00451473"/>
    <w:rsid w:val="004518F5"/>
    <w:rsid w:val="004530BF"/>
    <w:rsid w:val="00456CD4"/>
    <w:rsid w:val="00457D79"/>
    <w:rsid w:val="004604C9"/>
    <w:rsid w:val="00460BD2"/>
    <w:rsid w:val="00460D36"/>
    <w:rsid w:val="00460EBD"/>
    <w:rsid w:val="00461FFF"/>
    <w:rsid w:val="004621C2"/>
    <w:rsid w:val="004635FD"/>
    <w:rsid w:val="00466328"/>
    <w:rsid w:val="004668D9"/>
    <w:rsid w:val="00470B1F"/>
    <w:rsid w:val="00472B34"/>
    <w:rsid w:val="00472CDA"/>
    <w:rsid w:val="00475811"/>
    <w:rsid w:val="00476374"/>
    <w:rsid w:val="004777C0"/>
    <w:rsid w:val="00481545"/>
    <w:rsid w:val="00481BDF"/>
    <w:rsid w:val="00481EDC"/>
    <w:rsid w:val="004821CD"/>
    <w:rsid w:val="004822D0"/>
    <w:rsid w:val="00483EA3"/>
    <w:rsid w:val="00484E79"/>
    <w:rsid w:val="00486668"/>
    <w:rsid w:val="004874CD"/>
    <w:rsid w:val="0049450B"/>
    <w:rsid w:val="00494703"/>
    <w:rsid w:val="00494903"/>
    <w:rsid w:val="00497DF6"/>
    <w:rsid w:val="004A21CF"/>
    <w:rsid w:val="004A2492"/>
    <w:rsid w:val="004A55FE"/>
    <w:rsid w:val="004A5A4E"/>
    <w:rsid w:val="004A67FB"/>
    <w:rsid w:val="004B163E"/>
    <w:rsid w:val="004B1F8F"/>
    <w:rsid w:val="004B282F"/>
    <w:rsid w:val="004B3470"/>
    <w:rsid w:val="004B5FE1"/>
    <w:rsid w:val="004B609E"/>
    <w:rsid w:val="004B77C3"/>
    <w:rsid w:val="004C1723"/>
    <w:rsid w:val="004C1B8D"/>
    <w:rsid w:val="004C2F05"/>
    <w:rsid w:val="004C32AF"/>
    <w:rsid w:val="004C43D6"/>
    <w:rsid w:val="004C6B70"/>
    <w:rsid w:val="004C6C67"/>
    <w:rsid w:val="004C72AF"/>
    <w:rsid w:val="004D1DE3"/>
    <w:rsid w:val="004D1EA4"/>
    <w:rsid w:val="004D2054"/>
    <w:rsid w:val="004D2299"/>
    <w:rsid w:val="004D45C9"/>
    <w:rsid w:val="004D5772"/>
    <w:rsid w:val="004E02A6"/>
    <w:rsid w:val="004E02CB"/>
    <w:rsid w:val="004E0833"/>
    <w:rsid w:val="004E11E9"/>
    <w:rsid w:val="004E1A1C"/>
    <w:rsid w:val="004E28C6"/>
    <w:rsid w:val="004E3F67"/>
    <w:rsid w:val="004E422C"/>
    <w:rsid w:val="004E5814"/>
    <w:rsid w:val="004E594A"/>
    <w:rsid w:val="004E5E09"/>
    <w:rsid w:val="004E7367"/>
    <w:rsid w:val="004F138F"/>
    <w:rsid w:val="004F1759"/>
    <w:rsid w:val="004F21B3"/>
    <w:rsid w:val="004F2254"/>
    <w:rsid w:val="004F42F5"/>
    <w:rsid w:val="004F4C7D"/>
    <w:rsid w:val="004F57C2"/>
    <w:rsid w:val="004F6053"/>
    <w:rsid w:val="004F6997"/>
    <w:rsid w:val="004F78E5"/>
    <w:rsid w:val="004F7CFD"/>
    <w:rsid w:val="005026E1"/>
    <w:rsid w:val="00503F50"/>
    <w:rsid w:val="0050646D"/>
    <w:rsid w:val="0050670B"/>
    <w:rsid w:val="00507294"/>
    <w:rsid w:val="00510F2A"/>
    <w:rsid w:val="005129E3"/>
    <w:rsid w:val="00513D7D"/>
    <w:rsid w:val="005141E8"/>
    <w:rsid w:val="00514297"/>
    <w:rsid w:val="00517106"/>
    <w:rsid w:val="005172C2"/>
    <w:rsid w:val="0051777F"/>
    <w:rsid w:val="00517C08"/>
    <w:rsid w:val="00517F88"/>
    <w:rsid w:val="00520AE1"/>
    <w:rsid w:val="00520EE7"/>
    <w:rsid w:val="00521BCC"/>
    <w:rsid w:val="0052457F"/>
    <w:rsid w:val="00525C91"/>
    <w:rsid w:val="00525EF3"/>
    <w:rsid w:val="00526950"/>
    <w:rsid w:val="00526B1A"/>
    <w:rsid w:val="0053153F"/>
    <w:rsid w:val="005326FB"/>
    <w:rsid w:val="00532972"/>
    <w:rsid w:val="005334A5"/>
    <w:rsid w:val="00535E65"/>
    <w:rsid w:val="00535EBA"/>
    <w:rsid w:val="00537571"/>
    <w:rsid w:val="00540FB4"/>
    <w:rsid w:val="00542598"/>
    <w:rsid w:val="00542D27"/>
    <w:rsid w:val="00542E9A"/>
    <w:rsid w:val="00545E73"/>
    <w:rsid w:val="005462C6"/>
    <w:rsid w:val="005462D5"/>
    <w:rsid w:val="00546526"/>
    <w:rsid w:val="00547258"/>
    <w:rsid w:val="0055078D"/>
    <w:rsid w:val="00550C99"/>
    <w:rsid w:val="00550D11"/>
    <w:rsid w:val="00553413"/>
    <w:rsid w:val="00553CED"/>
    <w:rsid w:val="00555233"/>
    <w:rsid w:val="005557E5"/>
    <w:rsid w:val="00555841"/>
    <w:rsid w:val="005558E8"/>
    <w:rsid w:val="005559E4"/>
    <w:rsid w:val="00555DC0"/>
    <w:rsid w:val="00556A66"/>
    <w:rsid w:val="005571FA"/>
    <w:rsid w:val="0056075A"/>
    <w:rsid w:val="00561213"/>
    <w:rsid w:val="00563386"/>
    <w:rsid w:val="005637ED"/>
    <w:rsid w:val="00565B05"/>
    <w:rsid w:val="00567944"/>
    <w:rsid w:val="005705E9"/>
    <w:rsid w:val="0057065E"/>
    <w:rsid w:val="00572B4E"/>
    <w:rsid w:val="00573E39"/>
    <w:rsid w:val="0057616F"/>
    <w:rsid w:val="00576A98"/>
    <w:rsid w:val="00580140"/>
    <w:rsid w:val="0058224E"/>
    <w:rsid w:val="0058369E"/>
    <w:rsid w:val="00584A7B"/>
    <w:rsid w:val="00585138"/>
    <w:rsid w:val="00585878"/>
    <w:rsid w:val="005860AD"/>
    <w:rsid w:val="005863EB"/>
    <w:rsid w:val="00586494"/>
    <w:rsid w:val="00590568"/>
    <w:rsid w:val="005905B4"/>
    <w:rsid w:val="0059201E"/>
    <w:rsid w:val="005922B0"/>
    <w:rsid w:val="0059233B"/>
    <w:rsid w:val="00593314"/>
    <w:rsid w:val="005933A6"/>
    <w:rsid w:val="00594496"/>
    <w:rsid w:val="00594B60"/>
    <w:rsid w:val="005976CD"/>
    <w:rsid w:val="005A0673"/>
    <w:rsid w:val="005A291F"/>
    <w:rsid w:val="005A514B"/>
    <w:rsid w:val="005A5594"/>
    <w:rsid w:val="005A6BC4"/>
    <w:rsid w:val="005A714A"/>
    <w:rsid w:val="005A7E37"/>
    <w:rsid w:val="005A7FE5"/>
    <w:rsid w:val="005B00C3"/>
    <w:rsid w:val="005B14C1"/>
    <w:rsid w:val="005B1CA7"/>
    <w:rsid w:val="005B2C57"/>
    <w:rsid w:val="005B36D2"/>
    <w:rsid w:val="005B568D"/>
    <w:rsid w:val="005B63FA"/>
    <w:rsid w:val="005B713E"/>
    <w:rsid w:val="005B765C"/>
    <w:rsid w:val="005C0EBB"/>
    <w:rsid w:val="005C1B98"/>
    <w:rsid w:val="005C3F3E"/>
    <w:rsid w:val="005C6618"/>
    <w:rsid w:val="005C669B"/>
    <w:rsid w:val="005C74A8"/>
    <w:rsid w:val="005D0FDA"/>
    <w:rsid w:val="005D2EFB"/>
    <w:rsid w:val="005D3E90"/>
    <w:rsid w:val="005D4280"/>
    <w:rsid w:val="005E0625"/>
    <w:rsid w:val="005E1901"/>
    <w:rsid w:val="005E29B4"/>
    <w:rsid w:val="005E2D5F"/>
    <w:rsid w:val="005E3842"/>
    <w:rsid w:val="005E5DE4"/>
    <w:rsid w:val="005E7B48"/>
    <w:rsid w:val="005E7D1F"/>
    <w:rsid w:val="005F2011"/>
    <w:rsid w:val="005F2854"/>
    <w:rsid w:val="005F3F15"/>
    <w:rsid w:val="005F4563"/>
    <w:rsid w:val="005F58D7"/>
    <w:rsid w:val="005F640E"/>
    <w:rsid w:val="005F6609"/>
    <w:rsid w:val="00600598"/>
    <w:rsid w:val="00601AE9"/>
    <w:rsid w:val="0060305C"/>
    <w:rsid w:val="00603E0A"/>
    <w:rsid w:val="00603FD5"/>
    <w:rsid w:val="00604444"/>
    <w:rsid w:val="006100E0"/>
    <w:rsid w:val="0061054C"/>
    <w:rsid w:val="006106DD"/>
    <w:rsid w:val="00610E0C"/>
    <w:rsid w:val="006116C1"/>
    <w:rsid w:val="006133E2"/>
    <w:rsid w:val="00614232"/>
    <w:rsid w:val="00614E5D"/>
    <w:rsid w:val="00614F15"/>
    <w:rsid w:val="00615CF1"/>
    <w:rsid w:val="00616DC8"/>
    <w:rsid w:val="0061783E"/>
    <w:rsid w:val="00620D79"/>
    <w:rsid w:val="006219F4"/>
    <w:rsid w:val="00621EC2"/>
    <w:rsid w:val="00622D79"/>
    <w:rsid w:val="006250A1"/>
    <w:rsid w:val="00625AEB"/>
    <w:rsid w:val="00626A32"/>
    <w:rsid w:val="00626B3F"/>
    <w:rsid w:val="00627BAC"/>
    <w:rsid w:val="0063022F"/>
    <w:rsid w:val="006302AF"/>
    <w:rsid w:val="00632625"/>
    <w:rsid w:val="00635946"/>
    <w:rsid w:val="00636117"/>
    <w:rsid w:val="00636469"/>
    <w:rsid w:val="00637296"/>
    <w:rsid w:val="006372D1"/>
    <w:rsid w:val="0064278B"/>
    <w:rsid w:val="006427AC"/>
    <w:rsid w:val="00643A28"/>
    <w:rsid w:val="00643ADD"/>
    <w:rsid w:val="00644FEC"/>
    <w:rsid w:val="00646AFE"/>
    <w:rsid w:val="00647A50"/>
    <w:rsid w:val="00647F33"/>
    <w:rsid w:val="006523BA"/>
    <w:rsid w:val="00652E27"/>
    <w:rsid w:val="00653064"/>
    <w:rsid w:val="00653F74"/>
    <w:rsid w:val="0065434D"/>
    <w:rsid w:val="00657EF6"/>
    <w:rsid w:val="00661ED9"/>
    <w:rsid w:val="00662765"/>
    <w:rsid w:val="00663E91"/>
    <w:rsid w:val="00665124"/>
    <w:rsid w:val="00666607"/>
    <w:rsid w:val="006666F2"/>
    <w:rsid w:val="00666A4C"/>
    <w:rsid w:val="00666F3D"/>
    <w:rsid w:val="006679C9"/>
    <w:rsid w:val="0067005E"/>
    <w:rsid w:val="00670093"/>
    <w:rsid w:val="00670835"/>
    <w:rsid w:val="0067345B"/>
    <w:rsid w:val="006758AA"/>
    <w:rsid w:val="00676135"/>
    <w:rsid w:val="00680A62"/>
    <w:rsid w:val="0068169B"/>
    <w:rsid w:val="00681726"/>
    <w:rsid w:val="006820DD"/>
    <w:rsid w:val="00685641"/>
    <w:rsid w:val="006861CE"/>
    <w:rsid w:val="00686CA8"/>
    <w:rsid w:val="0068724F"/>
    <w:rsid w:val="006872E8"/>
    <w:rsid w:val="00692F67"/>
    <w:rsid w:val="00693058"/>
    <w:rsid w:val="00694373"/>
    <w:rsid w:val="0069451A"/>
    <w:rsid w:val="006951C8"/>
    <w:rsid w:val="0069603F"/>
    <w:rsid w:val="006960AF"/>
    <w:rsid w:val="006A003D"/>
    <w:rsid w:val="006A0606"/>
    <w:rsid w:val="006A1B3F"/>
    <w:rsid w:val="006A1DEF"/>
    <w:rsid w:val="006A222A"/>
    <w:rsid w:val="006A2525"/>
    <w:rsid w:val="006A48EC"/>
    <w:rsid w:val="006A4CEE"/>
    <w:rsid w:val="006A7936"/>
    <w:rsid w:val="006B0C26"/>
    <w:rsid w:val="006B21A1"/>
    <w:rsid w:val="006B2360"/>
    <w:rsid w:val="006B28AE"/>
    <w:rsid w:val="006B41CC"/>
    <w:rsid w:val="006B6620"/>
    <w:rsid w:val="006C137C"/>
    <w:rsid w:val="006C29E1"/>
    <w:rsid w:val="006C31AA"/>
    <w:rsid w:val="006C4AF4"/>
    <w:rsid w:val="006C4F3D"/>
    <w:rsid w:val="006C5F45"/>
    <w:rsid w:val="006C6385"/>
    <w:rsid w:val="006D0DF0"/>
    <w:rsid w:val="006D11F4"/>
    <w:rsid w:val="006D2E11"/>
    <w:rsid w:val="006D395D"/>
    <w:rsid w:val="006D3F2F"/>
    <w:rsid w:val="006D4303"/>
    <w:rsid w:val="006D5FE7"/>
    <w:rsid w:val="006D615A"/>
    <w:rsid w:val="006D6AAF"/>
    <w:rsid w:val="006D7BF9"/>
    <w:rsid w:val="006E0C4E"/>
    <w:rsid w:val="006E27AE"/>
    <w:rsid w:val="006E2F63"/>
    <w:rsid w:val="006E3061"/>
    <w:rsid w:val="006E3536"/>
    <w:rsid w:val="006E380C"/>
    <w:rsid w:val="006E426C"/>
    <w:rsid w:val="006E45C4"/>
    <w:rsid w:val="006E47FC"/>
    <w:rsid w:val="006E4F38"/>
    <w:rsid w:val="006E5109"/>
    <w:rsid w:val="006E6CBF"/>
    <w:rsid w:val="006E7276"/>
    <w:rsid w:val="006E7698"/>
    <w:rsid w:val="006F13EC"/>
    <w:rsid w:val="006F16CD"/>
    <w:rsid w:val="006F185B"/>
    <w:rsid w:val="006F21E1"/>
    <w:rsid w:val="006F22E9"/>
    <w:rsid w:val="006F3A5B"/>
    <w:rsid w:val="006F4CF6"/>
    <w:rsid w:val="006F50BB"/>
    <w:rsid w:val="006F7B76"/>
    <w:rsid w:val="006F7EC8"/>
    <w:rsid w:val="007002A3"/>
    <w:rsid w:val="00701250"/>
    <w:rsid w:val="007030AE"/>
    <w:rsid w:val="007049A9"/>
    <w:rsid w:val="00706BC6"/>
    <w:rsid w:val="007074FE"/>
    <w:rsid w:val="00712812"/>
    <w:rsid w:val="00712A32"/>
    <w:rsid w:val="007130CC"/>
    <w:rsid w:val="00714488"/>
    <w:rsid w:val="0071469B"/>
    <w:rsid w:val="007167E0"/>
    <w:rsid w:val="007174AF"/>
    <w:rsid w:val="0072044E"/>
    <w:rsid w:val="00720507"/>
    <w:rsid w:val="007225B0"/>
    <w:rsid w:val="00724851"/>
    <w:rsid w:val="0072748D"/>
    <w:rsid w:val="0073362A"/>
    <w:rsid w:val="00733D0A"/>
    <w:rsid w:val="00733D85"/>
    <w:rsid w:val="00736444"/>
    <w:rsid w:val="00736835"/>
    <w:rsid w:val="0073688B"/>
    <w:rsid w:val="00737EFB"/>
    <w:rsid w:val="0074492B"/>
    <w:rsid w:val="00744A8C"/>
    <w:rsid w:val="00751071"/>
    <w:rsid w:val="007530B4"/>
    <w:rsid w:val="007536C1"/>
    <w:rsid w:val="00753B88"/>
    <w:rsid w:val="00754812"/>
    <w:rsid w:val="00756D3E"/>
    <w:rsid w:val="007638CE"/>
    <w:rsid w:val="00763C8A"/>
    <w:rsid w:val="00763CE8"/>
    <w:rsid w:val="00766977"/>
    <w:rsid w:val="0077054D"/>
    <w:rsid w:val="00773571"/>
    <w:rsid w:val="00773B59"/>
    <w:rsid w:val="00774585"/>
    <w:rsid w:val="007745A0"/>
    <w:rsid w:val="007764E1"/>
    <w:rsid w:val="00776EEF"/>
    <w:rsid w:val="00780D89"/>
    <w:rsid w:val="00781ECB"/>
    <w:rsid w:val="00781F8A"/>
    <w:rsid w:val="00781FC5"/>
    <w:rsid w:val="00782357"/>
    <w:rsid w:val="00782399"/>
    <w:rsid w:val="0078260E"/>
    <w:rsid w:val="00783CF9"/>
    <w:rsid w:val="00784588"/>
    <w:rsid w:val="00784840"/>
    <w:rsid w:val="00784D31"/>
    <w:rsid w:val="0078588D"/>
    <w:rsid w:val="007877B5"/>
    <w:rsid w:val="00790C3B"/>
    <w:rsid w:val="00790E98"/>
    <w:rsid w:val="00791A13"/>
    <w:rsid w:val="00792DEA"/>
    <w:rsid w:val="00794BBA"/>
    <w:rsid w:val="00795EF6"/>
    <w:rsid w:val="00796496"/>
    <w:rsid w:val="00797115"/>
    <w:rsid w:val="007A0363"/>
    <w:rsid w:val="007A5BE1"/>
    <w:rsid w:val="007A5F7C"/>
    <w:rsid w:val="007A77E3"/>
    <w:rsid w:val="007A7DD5"/>
    <w:rsid w:val="007B13EA"/>
    <w:rsid w:val="007B1B4E"/>
    <w:rsid w:val="007B236D"/>
    <w:rsid w:val="007B29C4"/>
    <w:rsid w:val="007B45BC"/>
    <w:rsid w:val="007B7D06"/>
    <w:rsid w:val="007C1526"/>
    <w:rsid w:val="007C3911"/>
    <w:rsid w:val="007C3A97"/>
    <w:rsid w:val="007C4D6B"/>
    <w:rsid w:val="007C6232"/>
    <w:rsid w:val="007C69FA"/>
    <w:rsid w:val="007C7468"/>
    <w:rsid w:val="007C7A0D"/>
    <w:rsid w:val="007C7AD3"/>
    <w:rsid w:val="007D19D3"/>
    <w:rsid w:val="007D1CF8"/>
    <w:rsid w:val="007D29F3"/>
    <w:rsid w:val="007D3DFE"/>
    <w:rsid w:val="007D6FF8"/>
    <w:rsid w:val="007D7012"/>
    <w:rsid w:val="007D7F2C"/>
    <w:rsid w:val="007E5011"/>
    <w:rsid w:val="007E5D78"/>
    <w:rsid w:val="007E661C"/>
    <w:rsid w:val="007E697D"/>
    <w:rsid w:val="007F32C8"/>
    <w:rsid w:val="007F48DB"/>
    <w:rsid w:val="007F55FC"/>
    <w:rsid w:val="007F5647"/>
    <w:rsid w:val="007F630B"/>
    <w:rsid w:val="007F647C"/>
    <w:rsid w:val="007F6EF2"/>
    <w:rsid w:val="007F777E"/>
    <w:rsid w:val="0080212F"/>
    <w:rsid w:val="00804595"/>
    <w:rsid w:val="008101D7"/>
    <w:rsid w:val="00810DCD"/>
    <w:rsid w:val="00814971"/>
    <w:rsid w:val="0081533C"/>
    <w:rsid w:val="0081673B"/>
    <w:rsid w:val="00817427"/>
    <w:rsid w:val="00817CD7"/>
    <w:rsid w:val="00820E74"/>
    <w:rsid w:val="00821131"/>
    <w:rsid w:val="00821761"/>
    <w:rsid w:val="00821E53"/>
    <w:rsid w:val="00826B99"/>
    <w:rsid w:val="00832791"/>
    <w:rsid w:val="00834DFA"/>
    <w:rsid w:val="0083593C"/>
    <w:rsid w:val="00835950"/>
    <w:rsid w:val="00836669"/>
    <w:rsid w:val="0084026A"/>
    <w:rsid w:val="0084085C"/>
    <w:rsid w:val="00841B6D"/>
    <w:rsid w:val="00841FB0"/>
    <w:rsid w:val="00842C29"/>
    <w:rsid w:val="0084538E"/>
    <w:rsid w:val="008472CB"/>
    <w:rsid w:val="008510DC"/>
    <w:rsid w:val="00851247"/>
    <w:rsid w:val="00851B7F"/>
    <w:rsid w:val="0085439B"/>
    <w:rsid w:val="0085453A"/>
    <w:rsid w:val="00854694"/>
    <w:rsid w:val="00854CFF"/>
    <w:rsid w:val="008575C0"/>
    <w:rsid w:val="00857FCE"/>
    <w:rsid w:val="00861725"/>
    <w:rsid w:val="008621D3"/>
    <w:rsid w:val="00863824"/>
    <w:rsid w:val="00864093"/>
    <w:rsid w:val="00864C02"/>
    <w:rsid w:val="008655C1"/>
    <w:rsid w:val="00871DDF"/>
    <w:rsid w:val="0087226B"/>
    <w:rsid w:val="00872C8E"/>
    <w:rsid w:val="00873C3B"/>
    <w:rsid w:val="00873DCE"/>
    <w:rsid w:val="00877990"/>
    <w:rsid w:val="00880487"/>
    <w:rsid w:val="0088069B"/>
    <w:rsid w:val="00880E62"/>
    <w:rsid w:val="0088119A"/>
    <w:rsid w:val="00882CC6"/>
    <w:rsid w:val="008850A8"/>
    <w:rsid w:val="00886DBB"/>
    <w:rsid w:val="00890452"/>
    <w:rsid w:val="00890F51"/>
    <w:rsid w:val="008912D0"/>
    <w:rsid w:val="00892DAE"/>
    <w:rsid w:val="00894178"/>
    <w:rsid w:val="00897C91"/>
    <w:rsid w:val="008A1D71"/>
    <w:rsid w:val="008A42E1"/>
    <w:rsid w:val="008A53F2"/>
    <w:rsid w:val="008A5682"/>
    <w:rsid w:val="008A5F31"/>
    <w:rsid w:val="008A6651"/>
    <w:rsid w:val="008A6FBC"/>
    <w:rsid w:val="008B05C3"/>
    <w:rsid w:val="008B0D05"/>
    <w:rsid w:val="008B1D48"/>
    <w:rsid w:val="008B29C2"/>
    <w:rsid w:val="008B3D76"/>
    <w:rsid w:val="008B43A8"/>
    <w:rsid w:val="008B4965"/>
    <w:rsid w:val="008B54DC"/>
    <w:rsid w:val="008C0881"/>
    <w:rsid w:val="008C18EB"/>
    <w:rsid w:val="008C3DB7"/>
    <w:rsid w:val="008C5079"/>
    <w:rsid w:val="008C5325"/>
    <w:rsid w:val="008C547D"/>
    <w:rsid w:val="008C5BA8"/>
    <w:rsid w:val="008C5F81"/>
    <w:rsid w:val="008C6AEE"/>
    <w:rsid w:val="008D0371"/>
    <w:rsid w:val="008D1339"/>
    <w:rsid w:val="008D1ABD"/>
    <w:rsid w:val="008D1ACA"/>
    <w:rsid w:val="008D230A"/>
    <w:rsid w:val="008D349F"/>
    <w:rsid w:val="008D68A7"/>
    <w:rsid w:val="008D6D83"/>
    <w:rsid w:val="008E13D4"/>
    <w:rsid w:val="008E20AC"/>
    <w:rsid w:val="008E32F5"/>
    <w:rsid w:val="008E4598"/>
    <w:rsid w:val="008E494D"/>
    <w:rsid w:val="008E5B2E"/>
    <w:rsid w:val="008E6341"/>
    <w:rsid w:val="008F109A"/>
    <w:rsid w:val="008F2315"/>
    <w:rsid w:val="008F7AF1"/>
    <w:rsid w:val="0090137A"/>
    <w:rsid w:val="00901763"/>
    <w:rsid w:val="00901AC9"/>
    <w:rsid w:val="00902752"/>
    <w:rsid w:val="00902986"/>
    <w:rsid w:val="009037DC"/>
    <w:rsid w:val="00903FDA"/>
    <w:rsid w:val="0090777B"/>
    <w:rsid w:val="009105E7"/>
    <w:rsid w:val="00910711"/>
    <w:rsid w:val="00910881"/>
    <w:rsid w:val="00911952"/>
    <w:rsid w:val="00912440"/>
    <w:rsid w:val="0091264E"/>
    <w:rsid w:val="00912816"/>
    <w:rsid w:val="0091361D"/>
    <w:rsid w:val="0091481C"/>
    <w:rsid w:val="0091674E"/>
    <w:rsid w:val="00920CF7"/>
    <w:rsid w:val="00921373"/>
    <w:rsid w:val="009233B2"/>
    <w:rsid w:val="009247E1"/>
    <w:rsid w:val="00925A20"/>
    <w:rsid w:val="00925F6B"/>
    <w:rsid w:val="00927790"/>
    <w:rsid w:val="00930147"/>
    <w:rsid w:val="0093044A"/>
    <w:rsid w:val="0093348D"/>
    <w:rsid w:val="00934407"/>
    <w:rsid w:val="00936068"/>
    <w:rsid w:val="00936C0C"/>
    <w:rsid w:val="00936C6A"/>
    <w:rsid w:val="0094065A"/>
    <w:rsid w:val="009415B0"/>
    <w:rsid w:val="009428B6"/>
    <w:rsid w:val="0094373C"/>
    <w:rsid w:val="00944AB4"/>
    <w:rsid w:val="0095096F"/>
    <w:rsid w:val="00951087"/>
    <w:rsid w:val="0095173B"/>
    <w:rsid w:val="009517CC"/>
    <w:rsid w:val="0095354F"/>
    <w:rsid w:val="00956026"/>
    <w:rsid w:val="00956E40"/>
    <w:rsid w:val="00960023"/>
    <w:rsid w:val="00960282"/>
    <w:rsid w:val="009604D7"/>
    <w:rsid w:val="009615D4"/>
    <w:rsid w:val="00961642"/>
    <w:rsid w:val="009633BE"/>
    <w:rsid w:val="00963F92"/>
    <w:rsid w:val="00964647"/>
    <w:rsid w:val="00965767"/>
    <w:rsid w:val="00965AE7"/>
    <w:rsid w:val="00965CC0"/>
    <w:rsid w:val="0096614A"/>
    <w:rsid w:val="00966406"/>
    <w:rsid w:val="00967A14"/>
    <w:rsid w:val="00967C9D"/>
    <w:rsid w:val="009705E5"/>
    <w:rsid w:val="009705ED"/>
    <w:rsid w:val="009706A8"/>
    <w:rsid w:val="00973728"/>
    <w:rsid w:val="00973BC8"/>
    <w:rsid w:val="00974677"/>
    <w:rsid w:val="0097517F"/>
    <w:rsid w:val="009773A3"/>
    <w:rsid w:val="00981206"/>
    <w:rsid w:val="00981383"/>
    <w:rsid w:val="00981867"/>
    <w:rsid w:val="00984741"/>
    <w:rsid w:val="00985513"/>
    <w:rsid w:val="00985825"/>
    <w:rsid w:val="009862DA"/>
    <w:rsid w:val="00987745"/>
    <w:rsid w:val="00987CC3"/>
    <w:rsid w:val="00987FE3"/>
    <w:rsid w:val="009912CB"/>
    <w:rsid w:val="0099284E"/>
    <w:rsid w:val="009928BD"/>
    <w:rsid w:val="009929E6"/>
    <w:rsid w:val="00992D44"/>
    <w:rsid w:val="00993261"/>
    <w:rsid w:val="00995977"/>
    <w:rsid w:val="00996B94"/>
    <w:rsid w:val="00997285"/>
    <w:rsid w:val="00997B0B"/>
    <w:rsid w:val="009A129C"/>
    <w:rsid w:val="009A23DE"/>
    <w:rsid w:val="009A2E92"/>
    <w:rsid w:val="009A2F17"/>
    <w:rsid w:val="009A4C5B"/>
    <w:rsid w:val="009A69B0"/>
    <w:rsid w:val="009A6C0E"/>
    <w:rsid w:val="009B0139"/>
    <w:rsid w:val="009B152D"/>
    <w:rsid w:val="009B1613"/>
    <w:rsid w:val="009B3305"/>
    <w:rsid w:val="009B33FD"/>
    <w:rsid w:val="009B3CDC"/>
    <w:rsid w:val="009B7AB5"/>
    <w:rsid w:val="009C08ED"/>
    <w:rsid w:val="009C5181"/>
    <w:rsid w:val="009C5A84"/>
    <w:rsid w:val="009C5C77"/>
    <w:rsid w:val="009C6BD1"/>
    <w:rsid w:val="009C732A"/>
    <w:rsid w:val="009D09C1"/>
    <w:rsid w:val="009D24F5"/>
    <w:rsid w:val="009D3F89"/>
    <w:rsid w:val="009D4716"/>
    <w:rsid w:val="009D5013"/>
    <w:rsid w:val="009D573F"/>
    <w:rsid w:val="009D5D9E"/>
    <w:rsid w:val="009D6794"/>
    <w:rsid w:val="009D7727"/>
    <w:rsid w:val="009E0707"/>
    <w:rsid w:val="009E42DA"/>
    <w:rsid w:val="009E4B85"/>
    <w:rsid w:val="009E6264"/>
    <w:rsid w:val="009F1D84"/>
    <w:rsid w:val="009F3B43"/>
    <w:rsid w:val="009F5AAF"/>
    <w:rsid w:val="009F5B30"/>
    <w:rsid w:val="009F5DE7"/>
    <w:rsid w:val="00A001D6"/>
    <w:rsid w:val="00A015A6"/>
    <w:rsid w:val="00A01AEF"/>
    <w:rsid w:val="00A06137"/>
    <w:rsid w:val="00A0712E"/>
    <w:rsid w:val="00A07307"/>
    <w:rsid w:val="00A115BE"/>
    <w:rsid w:val="00A12E33"/>
    <w:rsid w:val="00A13664"/>
    <w:rsid w:val="00A14C55"/>
    <w:rsid w:val="00A14F8F"/>
    <w:rsid w:val="00A15298"/>
    <w:rsid w:val="00A15783"/>
    <w:rsid w:val="00A165A5"/>
    <w:rsid w:val="00A2093F"/>
    <w:rsid w:val="00A20E32"/>
    <w:rsid w:val="00A22F2D"/>
    <w:rsid w:val="00A247E5"/>
    <w:rsid w:val="00A24EF4"/>
    <w:rsid w:val="00A26D90"/>
    <w:rsid w:val="00A31C80"/>
    <w:rsid w:val="00A333AB"/>
    <w:rsid w:val="00A34C01"/>
    <w:rsid w:val="00A34C8B"/>
    <w:rsid w:val="00A34FDA"/>
    <w:rsid w:val="00A36D09"/>
    <w:rsid w:val="00A37607"/>
    <w:rsid w:val="00A37793"/>
    <w:rsid w:val="00A37A79"/>
    <w:rsid w:val="00A40131"/>
    <w:rsid w:val="00A41939"/>
    <w:rsid w:val="00A42744"/>
    <w:rsid w:val="00A44AB1"/>
    <w:rsid w:val="00A45D3B"/>
    <w:rsid w:val="00A46165"/>
    <w:rsid w:val="00A464F1"/>
    <w:rsid w:val="00A46997"/>
    <w:rsid w:val="00A46E36"/>
    <w:rsid w:val="00A476EF"/>
    <w:rsid w:val="00A47AA0"/>
    <w:rsid w:val="00A47BEF"/>
    <w:rsid w:val="00A52D9E"/>
    <w:rsid w:val="00A53086"/>
    <w:rsid w:val="00A5408E"/>
    <w:rsid w:val="00A5621B"/>
    <w:rsid w:val="00A56603"/>
    <w:rsid w:val="00A56639"/>
    <w:rsid w:val="00A601F0"/>
    <w:rsid w:val="00A602E7"/>
    <w:rsid w:val="00A615DD"/>
    <w:rsid w:val="00A6178E"/>
    <w:rsid w:val="00A6529E"/>
    <w:rsid w:val="00A66CA2"/>
    <w:rsid w:val="00A673D1"/>
    <w:rsid w:val="00A67A14"/>
    <w:rsid w:val="00A739BA"/>
    <w:rsid w:val="00A74BC6"/>
    <w:rsid w:val="00A75A42"/>
    <w:rsid w:val="00A76620"/>
    <w:rsid w:val="00A77ABB"/>
    <w:rsid w:val="00A803F8"/>
    <w:rsid w:val="00A811E9"/>
    <w:rsid w:val="00A81937"/>
    <w:rsid w:val="00A81A2C"/>
    <w:rsid w:val="00A85FBD"/>
    <w:rsid w:val="00A87F8B"/>
    <w:rsid w:val="00A90151"/>
    <w:rsid w:val="00A9022B"/>
    <w:rsid w:val="00A91824"/>
    <w:rsid w:val="00A91DB8"/>
    <w:rsid w:val="00A929E3"/>
    <w:rsid w:val="00A9359B"/>
    <w:rsid w:val="00A93C14"/>
    <w:rsid w:val="00A93E97"/>
    <w:rsid w:val="00A94520"/>
    <w:rsid w:val="00A94528"/>
    <w:rsid w:val="00A94EB4"/>
    <w:rsid w:val="00A94F04"/>
    <w:rsid w:val="00A9511C"/>
    <w:rsid w:val="00A96A23"/>
    <w:rsid w:val="00A96C30"/>
    <w:rsid w:val="00A978CC"/>
    <w:rsid w:val="00A97BB1"/>
    <w:rsid w:val="00AA0704"/>
    <w:rsid w:val="00AA163B"/>
    <w:rsid w:val="00AA1863"/>
    <w:rsid w:val="00AA1DD2"/>
    <w:rsid w:val="00AA2481"/>
    <w:rsid w:val="00AA30D8"/>
    <w:rsid w:val="00AA32D2"/>
    <w:rsid w:val="00AA341E"/>
    <w:rsid w:val="00AA58BC"/>
    <w:rsid w:val="00AA5CD7"/>
    <w:rsid w:val="00AA6DA5"/>
    <w:rsid w:val="00AA7D41"/>
    <w:rsid w:val="00AB08E7"/>
    <w:rsid w:val="00AB17B4"/>
    <w:rsid w:val="00AB1EA2"/>
    <w:rsid w:val="00AB1FB0"/>
    <w:rsid w:val="00AB2A3B"/>
    <w:rsid w:val="00AB2BA9"/>
    <w:rsid w:val="00AB2BDE"/>
    <w:rsid w:val="00AB2DFA"/>
    <w:rsid w:val="00AB515F"/>
    <w:rsid w:val="00AB54B2"/>
    <w:rsid w:val="00AB6990"/>
    <w:rsid w:val="00AC0558"/>
    <w:rsid w:val="00AC5BC3"/>
    <w:rsid w:val="00AC6618"/>
    <w:rsid w:val="00AC7F6F"/>
    <w:rsid w:val="00AD0B62"/>
    <w:rsid w:val="00AD26A8"/>
    <w:rsid w:val="00AD2A31"/>
    <w:rsid w:val="00AD2F5B"/>
    <w:rsid w:val="00AD4881"/>
    <w:rsid w:val="00AD74D6"/>
    <w:rsid w:val="00AD77C1"/>
    <w:rsid w:val="00AD7E6A"/>
    <w:rsid w:val="00AE07D8"/>
    <w:rsid w:val="00AE2047"/>
    <w:rsid w:val="00AE234C"/>
    <w:rsid w:val="00AE32C8"/>
    <w:rsid w:val="00AE4E91"/>
    <w:rsid w:val="00AE563C"/>
    <w:rsid w:val="00AF32AC"/>
    <w:rsid w:val="00AF49BE"/>
    <w:rsid w:val="00AF4AAB"/>
    <w:rsid w:val="00AF5C99"/>
    <w:rsid w:val="00AF692E"/>
    <w:rsid w:val="00AF693B"/>
    <w:rsid w:val="00B00639"/>
    <w:rsid w:val="00B008C5"/>
    <w:rsid w:val="00B01BC2"/>
    <w:rsid w:val="00B01EDA"/>
    <w:rsid w:val="00B02069"/>
    <w:rsid w:val="00B023AF"/>
    <w:rsid w:val="00B02C75"/>
    <w:rsid w:val="00B02F80"/>
    <w:rsid w:val="00B070FD"/>
    <w:rsid w:val="00B07531"/>
    <w:rsid w:val="00B07B5C"/>
    <w:rsid w:val="00B10453"/>
    <w:rsid w:val="00B12E33"/>
    <w:rsid w:val="00B13309"/>
    <w:rsid w:val="00B135FE"/>
    <w:rsid w:val="00B1487A"/>
    <w:rsid w:val="00B14A06"/>
    <w:rsid w:val="00B16BF3"/>
    <w:rsid w:val="00B17A60"/>
    <w:rsid w:val="00B17B10"/>
    <w:rsid w:val="00B20276"/>
    <w:rsid w:val="00B2065B"/>
    <w:rsid w:val="00B235B0"/>
    <w:rsid w:val="00B23603"/>
    <w:rsid w:val="00B25CA7"/>
    <w:rsid w:val="00B2710F"/>
    <w:rsid w:val="00B27507"/>
    <w:rsid w:val="00B30576"/>
    <w:rsid w:val="00B308CB"/>
    <w:rsid w:val="00B32D6C"/>
    <w:rsid w:val="00B357AA"/>
    <w:rsid w:val="00B3599A"/>
    <w:rsid w:val="00B359C6"/>
    <w:rsid w:val="00B36E43"/>
    <w:rsid w:val="00B3749D"/>
    <w:rsid w:val="00B418DE"/>
    <w:rsid w:val="00B41C57"/>
    <w:rsid w:val="00B41D3D"/>
    <w:rsid w:val="00B427F3"/>
    <w:rsid w:val="00B470C6"/>
    <w:rsid w:val="00B475D5"/>
    <w:rsid w:val="00B47D42"/>
    <w:rsid w:val="00B50171"/>
    <w:rsid w:val="00B50F42"/>
    <w:rsid w:val="00B522F7"/>
    <w:rsid w:val="00B52935"/>
    <w:rsid w:val="00B53875"/>
    <w:rsid w:val="00B53C69"/>
    <w:rsid w:val="00B54F8E"/>
    <w:rsid w:val="00B56952"/>
    <w:rsid w:val="00B56BE3"/>
    <w:rsid w:val="00B5721C"/>
    <w:rsid w:val="00B6038A"/>
    <w:rsid w:val="00B626AA"/>
    <w:rsid w:val="00B62C33"/>
    <w:rsid w:val="00B62DF3"/>
    <w:rsid w:val="00B64353"/>
    <w:rsid w:val="00B64CB2"/>
    <w:rsid w:val="00B659EC"/>
    <w:rsid w:val="00B65DAA"/>
    <w:rsid w:val="00B66B2F"/>
    <w:rsid w:val="00B677ED"/>
    <w:rsid w:val="00B71B05"/>
    <w:rsid w:val="00B7289B"/>
    <w:rsid w:val="00B7380D"/>
    <w:rsid w:val="00B749C5"/>
    <w:rsid w:val="00B74F7F"/>
    <w:rsid w:val="00B7580E"/>
    <w:rsid w:val="00B75B08"/>
    <w:rsid w:val="00B80961"/>
    <w:rsid w:val="00B84C6C"/>
    <w:rsid w:val="00B8508F"/>
    <w:rsid w:val="00B85852"/>
    <w:rsid w:val="00B87117"/>
    <w:rsid w:val="00B87358"/>
    <w:rsid w:val="00B87859"/>
    <w:rsid w:val="00B91D47"/>
    <w:rsid w:val="00B928DA"/>
    <w:rsid w:val="00B94011"/>
    <w:rsid w:val="00B94F1F"/>
    <w:rsid w:val="00B957D9"/>
    <w:rsid w:val="00B95962"/>
    <w:rsid w:val="00BA099B"/>
    <w:rsid w:val="00BA21C3"/>
    <w:rsid w:val="00BA3CB8"/>
    <w:rsid w:val="00BA3E9C"/>
    <w:rsid w:val="00BA5189"/>
    <w:rsid w:val="00BA5338"/>
    <w:rsid w:val="00BA6B7E"/>
    <w:rsid w:val="00BA7623"/>
    <w:rsid w:val="00BB018F"/>
    <w:rsid w:val="00BB28DC"/>
    <w:rsid w:val="00BB2A23"/>
    <w:rsid w:val="00BB2E5D"/>
    <w:rsid w:val="00BB49E6"/>
    <w:rsid w:val="00BB5226"/>
    <w:rsid w:val="00BB5BD4"/>
    <w:rsid w:val="00BB7136"/>
    <w:rsid w:val="00BB76B9"/>
    <w:rsid w:val="00BB7D51"/>
    <w:rsid w:val="00BC1EFB"/>
    <w:rsid w:val="00BC2349"/>
    <w:rsid w:val="00BC2982"/>
    <w:rsid w:val="00BC3C50"/>
    <w:rsid w:val="00BC4E10"/>
    <w:rsid w:val="00BC5384"/>
    <w:rsid w:val="00BC5BC5"/>
    <w:rsid w:val="00BC6265"/>
    <w:rsid w:val="00BD02E9"/>
    <w:rsid w:val="00BD1C2F"/>
    <w:rsid w:val="00BD33B6"/>
    <w:rsid w:val="00BD636D"/>
    <w:rsid w:val="00BD787A"/>
    <w:rsid w:val="00BE000D"/>
    <w:rsid w:val="00BE0EFF"/>
    <w:rsid w:val="00BE1995"/>
    <w:rsid w:val="00BE3655"/>
    <w:rsid w:val="00BE4AC2"/>
    <w:rsid w:val="00BE4DA3"/>
    <w:rsid w:val="00BE4EF3"/>
    <w:rsid w:val="00BE644B"/>
    <w:rsid w:val="00BE6F34"/>
    <w:rsid w:val="00BF00C8"/>
    <w:rsid w:val="00BF0389"/>
    <w:rsid w:val="00BF100C"/>
    <w:rsid w:val="00BF2C01"/>
    <w:rsid w:val="00BF4413"/>
    <w:rsid w:val="00BF450E"/>
    <w:rsid w:val="00BF5C18"/>
    <w:rsid w:val="00BF60FC"/>
    <w:rsid w:val="00BF65BD"/>
    <w:rsid w:val="00BF68C8"/>
    <w:rsid w:val="00BF6EAD"/>
    <w:rsid w:val="00C01E68"/>
    <w:rsid w:val="00C0345A"/>
    <w:rsid w:val="00C053FC"/>
    <w:rsid w:val="00C055D9"/>
    <w:rsid w:val="00C06AA8"/>
    <w:rsid w:val="00C06BBC"/>
    <w:rsid w:val="00C10460"/>
    <w:rsid w:val="00C10EC9"/>
    <w:rsid w:val="00C11924"/>
    <w:rsid w:val="00C11AE8"/>
    <w:rsid w:val="00C11FBB"/>
    <w:rsid w:val="00C12340"/>
    <w:rsid w:val="00C15BAA"/>
    <w:rsid w:val="00C1729C"/>
    <w:rsid w:val="00C175B7"/>
    <w:rsid w:val="00C17E09"/>
    <w:rsid w:val="00C2057B"/>
    <w:rsid w:val="00C220AD"/>
    <w:rsid w:val="00C2485B"/>
    <w:rsid w:val="00C262AB"/>
    <w:rsid w:val="00C26C6D"/>
    <w:rsid w:val="00C27A63"/>
    <w:rsid w:val="00C309A2"/>
    <w:rsid w:val="00C326F9"/>
    <w:rsid w:val="00C327BC"/>
    <w:rsid w:val="00C32918"/>
    <w:rsid w:val="00C33259"/>
    <w:rsid w:val="00C34BDE"/>
    <w:rsid w:val="00C35659"/>
    <w:rsid w:val="00C36C85"/>
    <w:rsid w:val="00C37A29"/>
    <w:rsid w:val="00C4003F"/>
    <w:rsid w:val="00C41E5F"/>
    <w:rsid w:val="00C42DA7"/>
    <w:rsid w:val="00C434F4"/>
    <w:rsid w:val="00C4592D"/>
    <w:rsid w:val="00C463B1"/>
    <w:rsid w:val="00C46858"/>
    <w:rsid w:val="00C470BA"/>
    <w:rsid w:val="00C51BC7"/>
    <w:rsid w:val="00C51E40"/>
    <w:rsid w:val="00C52E22"/>
    <w:rsid w:val="00C53F35"/>
    <w:rsid w:val="00C57320"/>
    <w:rsid w:val="00C6082E"/>
    <w:rsid w:val="00C60FC9"/>
    <w:rsid w:val="00C6297A"/>
    <w:rsid w:val="00C6322E"/>
    <w:rsid w:val="00C632A8"/>
    <w:rsid w:val="00C635C9"/>
    <w:rsid w:val="00C66265"/>
    <w:rsid w:val="00C67945"/>
    <w:rsid w:val="00C67E0D"/>
    <w:rsid w:val="00C70EFC"/>
    <w:rsid w:val="00C73528"/>
    <w:rsid w:val="00C7676B"/>
    <w:rsid w:val="00C76BBF"/>
    <w:rsid w:val="00C776DB"/>
    <w:rsid w:val="00C81EAB"/>
    <w:rsid w:val="00C82353"/>
    <w:rsid w:val="00C82BD9"/>
    <w:rsid w:val="00C839FB"/>
    <w:rsid w:val="00C8496B"/>
    <w:rsid w:val="00C84D04"/>
    <w:rsid w:val="00C84F98"/>
    <w:rsid w:val="00C852DE"/>
    <w:rsid w:val="00C860E0"/>
    <w:rsid w:val="00C86A9F"/>
    <w:rsid w:val="00C87034"/>
    <w:rsid w:val="00C87A61"/>
    <w:rsid w:val="00C922AF"/>
    <w:rsid w:val="00C92AB4"/>
    <w:rsid w:val="00C932F3"/>
    <w:rsid w:val="00C93B16"/>
    <w:rsid w:val="00C95B4A"/>
    <w:rsid w:val="00C965FD"/>
    <w:rsid w:val="00C97293"/>
    <w:rsid w:val="00C976CB"/>
    <w:rsid w:val="00CA1148"/>
    <w:rsid w:val="00CA4065"/>
    <w:rsid w:val="00CA57BE"/>
    <w:rsid w:val="00CA740D"/>
    <w:rsid w:val="00CA76B3"/>
    <w:rsid w:val="00CB0831"/>
    <w:rsid w:val="00CB1DDA"/>
    <w:rsid w:val="00CB1ECE"/>
    <w:rsid w:val="00CB4B25"/>
    <w:rsid w:val="00CB55B8"/>
    <w:rsid w:val="00CB5DA7"/>
    <w:rsid w:val="00CB726A"/>
    <w:rsid w:val="00CC02CD"/>
    <w:rsid w:val="00CC06AA"/>
    <w:rsid w:val="00CC3697"/>
    <w:rsid w:val="00CC3D0E"/>
    <w:rsid w:val="00CC4711"/>
    <w:rsid w:val="00CC47B5"/>
    <w:rsid w:val="00CC490B"/>
    <w:rsid w:val="00CC4D42"/>
    <w:rsid w:val="00CC6183"/>
    <w:rsid w:val="00CC626D"/>
    <w:rsid w:val="00CC69F9"/>
    <w:rsid w:val="00CD04AF"/>
    <w:rsid w:val="00CD2748"/>
    <w:rsid w:val="00CD3D86"/>
    <w:rsid w:val="00CD42CB"/>
    <w:rsid w:val="00CD4314"/>
    <w:rsid w:val="00CD5C0A"/>
    <w:rsid w:val="00CD61EB"/>
    <w:rsid w:val="00CD698A"/>
    <w:rsid w:val="00CD780C"/>
    <w:rsid w:val="00CE09BA"/>
    <w:rsid w:val="00CE1581"/>
    <w:rsid w:val="00CE197F"/>
    <w:rsid w:val="00CE4822"/>
    <w:rsid w:val="00CE4B89"/>
    <w:rsid w:val="00CE7F6F"/>
    <w:rsid w:val="00CF02F0"/>
    <w:rsid w:val="00CF12A3"/>
    <w:rsid w:val="00CF14C3"/>
    <w:rsid w:val="00CF1DDA"/>
    <w:rsid w:val="00CF2A2B"/>
    <w:rsid w:val="00CF2E0E"/>
    <w:rsid w:val="00CF5C36"/>
    <w:rsid w:val="00CF6E71"/>
    <w:rsid w:val="00CF76FB"/>
    <w:rsid w:val="00CF7795"/>
    <w:rsid w:val="00CF7B2A"/>
    <w:rsid w:val="00D0098A"/>
    <w:rsid w:val="00D01CDF"/>
    <w:rsid w:val="00D05841"/>
    <w:rsid w:val="00D06877"/>
    <w:rsid w:val="00D10D9C"/>
    <w:rsid w:val="00D10DD8"/>
    <w:rsid w:val="00D11F74"/>
    <w:rsid w:val="00D12F25"/>
    <w:rsid w:val="00D14482"/>
    <w:rsid w:val="00D16F74"/>
    <w:rsid w:val="00D222BA"/>
    <w:rsid w:val="00D22B32"/>
    <w:rsid w:val="00D23899"/>
    <w:rsid w:val="00D23C60"/>
    <w:rsid w:val="00D2586B"/>
    <w:rsid w:val="00D261E5"/>
    <w:rsid w:val="00D26A49"/>
    <w:rsid w:val="00D30B6D"/>
    <w:rsid w:val="00D31163"/>
    <w:rsid w:val="00D31257"/>
    <w:rsid w:val="00D31901"/>
    <w:rsid w:val="00D344EC"/>
    <w:rsid w:val="00D34DC7"/>
    <w:rsid w:val="00D34F9D"/>
    <w:rsid w:val="00D36AC6"/>
    <w:rsid w:val="00D411EF"/>
    <w:rsid w:val="00D4169F"/>
    <w:rsid w:val="00D431C4"/>
    <w:rsid w:val="00D436E2"/>
    <w:rsid w:val="00D45A76"/>
    <w:rsid w:val="00D500CE"/>
    <w:rsid w:val="00D50625"/>
    <w:rsid w:val="00D51460"/>
    <w:rsid w:val="00D5146C"/>
    <w:rsid w:val="00D5469D"/>
    <w:rsid w:val="00D56C89"/>
    <w:rsid w:val="00D575E7"/>
    <w:rsid w:val="00D579FD"/>
    <w:rsid w:val="00D57C59"/>
    <w:rsid w:val="00D57DC1"/>
    <w:rsid w:val="00D60649"/>
    <w:rsid w:val="00D617A5"/>
    <w:rsid w:val="00D61E88"/>
    <w:rsid w:val="00D62B11"/>
    <w:rsid w:val="00D64660"/>
    <w:rsid w:val="00D6739B"/>
    <w:rsid w:val="00D67526"/>
    <w:rsid w:val="00D67F7E"/>
    <w:rsid w:val="00D706D1"/>
    <w:rsid w:val="00D714B0"/>
    <w:rsid w:val="00D738F4"/>
    <w:rsid w:val="00D73CCD"/>
    <w:rsid w:val="00D740EA"/>
    <w:rsid w:val="00D745AC"/>
    <w:rsid w:val="00D74C3C"/>
    <w:rsid w:val="00D753AC"/>
    <w:rsid w:val="00D753C7"/>
    <w:rsid w:val="00D7545F"/>
    <w:rsid w:val="00D75714"/>
    <w:rsid w:val="00D75A16"/>
    <w:rsid w:val="00D75A54"/>
    <w:rsid w:val="00D75B92"/>
    <w:rsid w:val="00D80395"/>
    <w:rsid w:val="00D81019"/>
    <w:rsid w:val="00D81FEF"/>
    <w:rsid w:val="00D830ED"/>
    <w:rsid w:val="00D83923"/>
    <w:rsid w:val="00D8532A"/>
    <w:rsid w:val="00D871B1"/>
    <w:rsid w:val="00D92AA3"/>
    <w:rsid w:val="00D9341C"/>
    <w:rsid w:val="00D9419D"/>
    <w:rsid w:val="00D9637D"/>
    <w:rsid w:val="00D96D91"/>
    <w:rsid w:val="00DA07D4"/>
    <w:rsid w:val="00DA07DE"/>
    <w:rsid w:val="00DA0E51"/>
    <w:rsid w:val="00DA2985"/>
    <w:rsid w:val="00DA3024"/>
    <w:rsid w:val="00DA3328"/>
    <w:rsid w:val="00DA60FB"/>
    <w:rsid w:val="00DA6875"/>
    <w:rsid w:val="00DA692E"/>
    <w:rsid w:val="00DA7AA7"/>
    <w:rsid w:val="00DA7B5D"/>
    <w:rsid w:val="00DA7F19"/>
    <w:rsid w:val="00DB4349"/>
    <w:rsid w:val="00DB49F6"/>
    <w:rsid w:val="00DB4EB8"/>
    <w:rsid w:val="00DB5701"/>
    <w:rsid w:val="00DB59A5"/>
    <w:rsid w:val="00DB680C"/>
    <w:rsid w:val="00DB71F0"/>
    <w:rsid w:val="00DC0B04"/>
    <w:rsid w:val="00DC0D1D"/>
    <w:rsid w:val="00DC1547"/>
    <w:rsid w:val="00DC62BC"/>
    <w:rsid w:val="00DC6831"/>
    <w:rsid w:val="00DC6963"/>
    <w:rsid w:val="00DC6A59"/>
    <w:rsid w:val="00DD05EF"/>
    <w:rsid w:val="00DD0F7E"/>
    <w:rsid w:val="00DD20C7"/>
    <w:rsid w:val="00DD22D0"/>
    <w:rsid w:val="00DD2CAE"/>
    <w:rsid w:val="00DD317C"/>
    <w:rsid w:val="00DD41FD"/>
    <w:rsid w:val="00DD4335"/>
    <w:rsid w:val="00DD52EC"/>
    <w:rsid w:val="00DD73C2"/>
    <w:rsid w:val="00DE0472"/>
    <w:rsid w:val="00DE2416"/>
    <w:rsid w:val="00DE34A8"/>
    <w:rsid w:val="00DE48CE"/>
    <w:rsid w:val="00DE60CE"/>
    <w:rsid w:val="00DF1617"/>
    <w:rsid w:val="00DF1DC7"/>
    <w:rsid w:val="00DF3155"/>
    <w:rsid w:val="00DF38A5"/>
    <w:rsid w:val="00DF4E3E"/>
    <w:rsid w:val="00DF72A2"/>
    <w:rsid w:val="00E001B3"/>
    <w:rsid w:val="00E0050C"/>
    <w:rsid w:val="00E005BB"/>
    <w:rsid w:val="00E015EA"/>
    <w:rsid w:val="00E02F39"/>
    <w:rsid w:val="00E03565"/>
    <w:rsid w:val="00E0453D"/>
    <w:rsid w:val="00E05FA6"/>
    <w:rsid w:val="00E0751B"/>
    <w:rsid w:val="00E07C4B"/>
    <w:rsid w:val="00E11384"/>
    <w:rsid w:val="00E16C7E"/>
    <w:rsid w:val="00E205AD"/>
    <w:rsid w:val="00E20FA0"/>
    <w:rsid w:val="00E21097"/>
    <w:rsid w:val="00E2165D"/>
    <w:rsid w:val="00E21B4A"/>
    <w:rsid w:val="00E225BE"/>
    <w:rsid w:val="00E2269E"/>
    <w:rsid w:val="00E24380"/>
    <w:rsid w:val="00E247C2"/>
    <w:rsid w:val="00E24BC4"/>
    <w:rsid w:val="00E25474"/>
    <w:rsid w:val="00E256C8"/>
    <w:rsid w:val="00E26EB7"/>
    <w:rsid w:val="00E276CC"/>
    <w:rsid w:val="00E30343"/>
    <w:rsid w:val="00E30DF3"/>
    <w:rsid w:val="00E30E6F"/>
    <w:rsid w:val="00E32F93"/>
    <w:rsid w:val="00E330CC"/>
    <w:rsid w:val="00E35495"/>
    <w:rsid w:val="00E369E9"/>
    <w:rsid w:val="00E369F8"/>
    <w:rsid w:val="00E40E88"/>
    <w:rsid w:val="00E40FB6"/>
    <w:rsid w:val="00E40FD7"/>
    <w:rsid w:val="00E415F8"/>
    <w:rsid w:val="00E41FE4"/>
    <w:rsid w:val="00E45A23"/>
    <w:rsid w:val="00E46A52"/>
    <w:rsid w:val="00E475C7"/>
    <w:rsid w:val="00E5053F"/>
    <w:rsid w:val="00E5400A"/>
    <w:rsid w:val="00E54B2B"/>
    <w:rsid w:val="00E551DD"/>
    <w:rsid w:val="00E579BE"/>
    <w:rsid w:val="00E607D2"/>
    <w:rsid w:val="00E64572"/>
    <w:rsid w:val="00E65C95"/>
    <w:rsid w:val="00E65D6B"/>
    <w:rsid w:val="00E66862"/>
    <w:rsid w:val="00E670C3"/>
    <w:rsid w:val="00E674C5"/>
    <w:rsid w:val="00E70CD3"/>
    <w:rsid w:val="00E711E6"/>
    <w:rsid w:val="00E728DE"/>
    <w:rsid w:val="00E72B0B"/>
    <w:rsid w:val="00E742CD"/>
    <w:rsid w:val="00E77259"/>
    <w:rsid w:val="00E8048F"/>
    <w:rsid w:val="00E81059"/>
    <w:rsid w:val="00E81D21"/>
    <w:rsid w:val="00E839CC"/>
    <w:rsid w:val="00E83BF9"/>
    <w:rsid w:val="00E8465A"/>
    <w:rsid w:val="00E84B2A"/>
    <w:rsid w:val="00E85CAE"/>
    <w:rsid w:val="00E85FE7"/>
    <w:rsid w:val="00E87305"/>
    <w:rsid w:val="00E87F9E"/>
    <w:rsid w:val="00E905D7"/>
    <w:rsid w:val="00E9170A"/>
    <w:rsid w:val="00E91990"/>
    <w:rsid w:val="00E931B5"/>
    <w:rsid w:val="00E93A75"/>
    <w:rsid w:val="00E955B6"/>
    <w:rsid w:val="00E96565"/>
    <w:rsid w:val="00E96D42"/>
    <w:rsid w:val="00E9715F"/>
    <w:rsid w:val="00E97AC8"/>
    <w:rsid w:val="00EA17CF"/>
    <w:rsid w:val="00EA1943"/>
    <w:rsid w:val="00EA2204"/>
    <w:rsid w:val="00EA3AA6"/>
    <w:rsid w:val="00EA4478"/>
    <w:rsid w:val="00EA51C8"/>
    <w:rsid w:val="00EA63A9"/>
    <w:rsid w:val="00EA6AA6"/>
    <w:rsid w:val="00EA72EE"/>
    <w:rsid w:val="00EA733C"/>
    <w:rsid w:val="00EA7BE7"/>
    <w:rsid w:val="00EB177B"/>
    <w:rsid w:val="00EB4648"/>
    <w:rsid w:val="00EB6734"/>
    <w:rsid w:val="00EB6AE7"/>
    <w:rsid w:val="00EB7198"/>
    <w:rsid w:val="00EB71F2"/>
    <w:rsid w:val="00EC03EF"/>
    <w:rsid w:val="00EC0416"/>
    <w:rsid w:val="00EC151C"/>
    <w:rsid w:val="00EC2302"/>
    <w:rsid w:val="00EC26CC"/>
    <w:rsid w:val="00EC5BA0"/>
    <w:rsid w:val="00EC726D"/>
    <w:rsid w:val="00ED324A"/>
    <w:rsid w:val="00ED3314"/>
    <w:rsid w:val="00ED3785"/>
    <w:rsid w:val="00ED4A61"/>
    <w:rsid w:val="00ED598A"/>
    <w:rsid w:val="00ED6723"/>
    <w:rsid w:val="00EE060D"/>
    <w:rsid w:val="00EE0C9F"/>
    <w:rsid w:val="00EE193C"/>
    <w:rsid w:val="00EE246C"/>
    <w:rsid w:val="00EE24FC"/>
    <w:rsid w:val="00EE31AA"/>
    <w:rsid w:val="00EE38D4"/>
    <w:rsid w:val="00EE4F33"/>
    <w:rsid w:val="00EE5466"/>
    <w:rsid w:val="00EE5DA3"/>
    <w:rsid w:val="00EE6F14"/>
    <w:rsid w:val="00EE79C2"/>
    <w:rsid w:val="00EF0F33"/>
    <w:rsid w:val="00EF17DB"/>
    <w:rsid w:val="00EF3F23"/>
    <w:rsid w:val="00EF5E2D"/>
    <w:rsid w:val="00F00FE2"/>
    <w:rsid w:val="00F01D39"/>
    <w:rsid w:val="00F0417C"/>
    <w:rsid w:val="00F056A3"/>
    <w:rsid w:val="00F078D3"/>
    <w:rsid w:val="00F07FB6"/>
    <w:rsid w:val="00F10F0F"/>
    <w:rsid w:val="00F12132"/>
    <w:rsid w:val="00F12A50"/>
    <w:rsid w:val="00F1330F"/>
    <w:rsid w:val="00F13EAB"/>
    <w:rsid w:val="00F14C09"/>
    <w:rsid w:val="00F162D4"/>
    <w:rsid w:val="00F17972"/>
    <w:rsid w:val="00F201E5"/>
    <w:rsid w:val="00F203CA"/>
    <w:rsid w:val="00F20AB1"/>
    <w:rsid w:val="00F21DB9"/>
    <w:rsid w:val="00F22D24"/>
    <w:rsid w:val="00F23235"/>
    <w:rsid w:val="00F23542"/>
    <w:rsid w:val="00F24FBD"/>
    <w:rsid w:val="00F2567B"/>
    <w:rsid w:val="00F2594C"/>
    <w:rsid w:val="00F27573"/>
    <w:rsid w:val="00F30BB5"/>
    <w:rsid w:val="00F30D50"/>
    <w:rsid w:val="00F33AA5"/>
    <w:rsid w:val="00F34196"/>
    <w:rsid w:val="00F35700"/>
    <w:rsid w:val="00F35DD5"/>
    <w:rsid w:val="00F4010B"/>
    <w:rsid w:val="00F4110F"/>
    <w:rsid w:val="00F41C87"/>
    <w:rsid w:val="00F41E3D"/>
    <w:rsid w:val="00F41F3A"/>
    <w:rsid w:val="00F42E94"/>
    <w:rsid w:val="00F43674"/>
    <w:rsid w:val="00F45B1D"/>
    <w:rsid w:val="00F462CD"/>
    <w:rsid w:val="00F4702C"/>
    <w:rsid w:val="00F505B8"/>
    <w:rsid w:val="00F5426D"/>
    <w:rsid w:val="00F54967"/>
    <w:rsid w:val="00F57DA7"/>
    <w:rsid w:val="00F609F3"/>
    <w:rsid w:val="00F618E0"/>
    <w:rsid w:val="00F61D13"/>
    <w:rsid w:val="00F63077"/>
    <w:rsid w:val="00F634F6"/>
    <w:rsid w:val="00F63B78"/>
    <w:rsid w:val="00F6524E"/>
    <w:rsid w:val="00F653F6"/>
    <w:rsid w:val="00F65D7C"/>
    <w:rsid w:val="00F66536"/>
    <w:rsid w:val="00F669EC"/>
    <w:rsid w:val="00F66D25"/>
    <w:rsid w:val="00F70011"/>
    <w:rsid w:val="00F71A34"/>
    <w:rsid w:val="00F71F61"/>
    <w:rsid w:val="00F72BE6"/>
    <w:rsid w:val="00F73018"/>
    <w:rsid w:val="00F730D9"/>
    <w:rsid w:val="00F7406F"/>
    <w:rsid w:val="00F7697C"/>
    <w:rsid w:val="00F76AD5"/>
    <w:rsid w:val="00F77AA2"/>
    <w:rsid w:val="00F8021F"/>
    <w:rsid w:val="00F8069F"/>
    <w:rsid w:val="00F81C90"/>
    <w:rsid w:val="00F82340"/>
    <w:rsid w:val="00F83AD9"/>
    <w:rsid w:val="00F83B2C"/>
    <w:rsid w:val="00F84460"/>
    <w:rsid w:val="00F858F5"/>
    <w:rsid w:val="00F85D6D"/>
    <w:rsid w:val="00F87B07"/>
    <w:rsid w:val="00F9041B"/>
    <w:rsid w:val="00F92181"/>
    <w:rsid w:val="00F9319D"/>
    <w:rsid w:val="00F93CE5"/>
    <w:rsid w:val="00F9463A"/>
    <w:rsid w:val="00F94880"/>
    <w:rsid w:val="00F979ED"/>
    <w:rsid w:val="00FA04BB"/>
    <w:rsid w:val="00FA2C7F"/>
    <w:rsid w:val="00FA43C8"/>
    <w:rsid w:val="00FA44BB"/>
    <w:rsid w:val="00FA4CEE"/>
    <w:rsid w:val="00FA4E07"/>
    <w:rsid w:val="00FA567A"/>
    <w:rsid w:val="00FA64A4"/>
    <w:rsid w:val="00FA6871"/>
    <w:rsid w:val="00FA6BBC"/>
    <w:rsid w:val="00FB0076"/>
    <w:rsid w:val="00FB0D65"/>
    <w:rsid w:val="00FB0DE9"/>
    <w:rsid w:val="00FB13D0"/>
    <w:rsid w:val="00FB149E"/>
    <w:rsid w:val="00FB4991"/>
    <w:rsid w:val="00FB4A8A"/>
    <w:rsid w:val="00FC0AE6"/>
    <w:rsid w:val="00FC125F"/>
    <w:rsid w:val="00FC2B23"/>
    <w:rsid w:val="00FC2D8B"/>
    <w:rsid w:val="00FC31E7"/>
    <w:rsid w:val="00FC34D4"/>
    <w:rsid w:val="00FC3E15"/>
    <w:rsid w:val="00FC5297"/>
    <w:rsid w:val="00FC6D7F"/>
    <w:rsid w:val="00FC7842"/>
    <w:rsid w:val="00FC7D35"/>
    <w:rsid w:val="00FD080C"/>
    <w:rsid w:val="00FD0A80"/>
    <w:rsid w:val="00FD285E"/>
    <w:rsid w:val="00FD2910"/>
    <w:rsid w:val="00FD3306"/>
    <w:rsid w:val="00FD39E5"/>
    <w:rsid w:val="00FD3AC7"/>
    <w:rsid w:val="00FE0286"/>
    <w:rsid w:val="00FE03EA"/>
    <w:rsid w:val="00FE1BB9"/>
    <w:rsid w:val="00FE3C57"/>
    <w:rsid w:val="00FE3F9E"/>
    <w:rsid w:val="00FE5059"/>
    <w:rsid w:val="00FE57D8"/>
    <w:rsid w:val="00FE7188"/>
    <w:rsid w:val="00FF0871"/>
    <w:rsid w:val="00FF1B50"/>
    <w:rsid w:val="00FF265E"/>
    <w:rsid w:val="00FF3865"/>
    <w:rsid w:val="00FF622B"/>
    <w:rsid w:val="015B2765"/>
    <w:rsid w:val="063826D1"/>
    <w:rsid w:val="0F641745"/>
    <w:rsid w:val="128C47A0"/>
    <w:rsid w:val="185E4199"/>
    <w:rsid w:val="1C75953E"/>
    <w:rsid w:val="1CF9ABA7"/>
    <w:rsid w:val="1FBA1E05"/>
    <w:rsid w:val="213617D0"/>
    <w:rsid w:val="246769EB"/>
    <w:rsid w:val="2C2BF76A"/>
    <w:rsid w:val="2C36583F"/>
    <w:rsid w:val="2E1AE072"/>
    <w:rsid w:val="2E93B70F"/>
    <w:rsid w:val="315EB105"/>
    <w:rsid w:val="31A22AFE"/>
    <w:rsid w:val="3408F814"/>
    <w:rsid w:val="3529087C"/>
    <w:rsid w:val="353D6387"/>
    <w:rsid w:val="388185F5"/>
    <w:rsid w:val="3894E36C"/>
    <w:rsid w:val="3A7AF812"/>
    <w:rsid w:val="3AFF2649"/>
    <w:rsid w:val="3B24B84B"/>
    <w:rsid w:val="3D28F2BA"/>
    <w:rsid w:val="3FD3613F"/>
    <w:rsid w:val="41012098"/>
    <w:rsid w:val="4EF2210F"/>
    <w:rsid w:val="50F27995"/>
    <w:rsid w:val="5422F24D"/>
    <w:rsid w:val="5669E9BE"/>
    <w:rsid w:val="5F5F54A2"/>
    <w:rsid w:val="612D7B5B"/>
    <w:rsid w:val="61E9D65C"/>
    <w:rsid w:val="62F5BA2E"/>
    <w:rsid w:val="6316D554"/>
    <w:rsid w:val="6B35279A"/>
    <w:rsid w:val="6CA83F80"/>
    <w:rsid w:val="6DE759F6"/>
    <w:rsid w:val="6EDA1E4F"/>
    <w:rsid w:val="72A5D1C5"/>
    <w:rsid w:val="7312E2BB"/>
    <w:rsid w:val="7321604E"/>
    <w:rsid w:val="77AE39AE"/>
    <w:rsid w:val="7852FAF6"/>
    <w:rsid w:val="7B1D5F40"/>
    <w:rsid w:val="7CE089E2"/>
    <w:rsid w:val="7DB8BA81"/>
    <w:rsid w:val="7F2598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9834"/>
  <w15:chartTrackingRefBased/>
  <w15:docId w15:val="{8BCDB66F-752A-4C66-B8C7-4DA3AFA5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81"/>
    <w:pPr>
      <w:spacing w:after="180"/>
    </w:pPr>
    <w:rPr>
      <w:sz w:val="18"/>
    </w:rPr>
  </w:style>
  <w:style w:type="paragraph" w:styleId="Heading1">
    <w:name w:val="heading 1"/>
    <w:basedOn w:val="Normal"/>
    <w:next w:val="Normal"/>
    <w:link w:val="Heading1Char"/>
    <w:uiPriority w:val="9"/>
    <w:qFormat/>
    <w:rsid w:val="001E3681"/>
    <w:pPr>
      <w:keepNext/>
      <w:keepLines/>
      <w:numPr>
        <w:numId w:val="12"/>
      </w:numPr>
      <w:spacing w:after="380"/>
      <w:outlineLvl w:val="0"/>
    </w:pPr>
    <w:rPr>
      <w:rFonts w:asciiTheme="majorHAnsi" w:eastAsiaTheme="majorEastAsia" w:hAnsiTheme="majorHAnsi" w:cstheme="majorBidi"/>
      <w:b/>
      <w:color w:val="2C4BA0" w:themeColor="accent1"/>
      <w:sz w:val="44"/>
      <w:szCs w:val="32"/>
    </w:rPr>
  </w:style>
  <w:style w:type="paragraph" w:styleId="Heading2">
    <w:name w:val="heading 2"/>
    <w:basedOn w:val="Normal"/>
    <w:next w:val="Normal"/>
    <w:link w:val="Heading2Char"/>
    <w:uiPriority w:val="9"/>
    <w:qFormat/>
    <w:rsid w:val="001E3681"/>
    <w:pPr>
      <w:keepNext/>
      <w:keepLines/>
      <w:numPr>
        <w:ilvl w:val="1"/>
        <w:numId w:val="12"/>
      </w:numPr>
      <w:spacing w:before="280" w:after="240"/>
      <w:outlineLvl w:val="1"/>
    </w:pPr>
    <w:rPr>
      <w:rFonts w:asciiTheme="majorHAnsi" w:eastAsiaTheme="majorEastAsia" w:hAnsiTheme="majorHAnsi" w:cstheme="majorBidi"/>
      <w:b/>
      <w:color w:val="2C4BA0" w:themeColor="accent1"/>
      <w:sz w:val="28"/>
      <w:szCs w:val="26"/>
    </w:rPr>
  </w:style>
  <w:style w:type="paragraph" w:styleId="Heading3">
    <w:name w:val="heading 3"/>
    <w:basedOn w:val="Normal"/>
    <w:next w:val="Normal"/>
    <w:link w:val="Heading3Char"/>
    <w:uiPriority w:val="9"/>
    <w:qFormat/>
    <w:rsid w:val="001E3681"/>
    <w:pPr>
      <w:keepNext/>
      <w:keepLines/>
      <w:numPr>
        <w:ilvl w:val="2"/>
        <w:numId w:val="12"/>
      </w:numPr>
      <w:spacing w:before="240" w:after="100"/>
      <w:outlineLvl w:val="2"/>
    </w:pPr>
    <w:rPr>
      <w:rFonts w:asciiTheme="majorHAnsi" w:eastAsiaTheme="majorEastAsia" w:hAnsiTheme="majorHAnsi" w:cstheme="majorBidi"/>
      <w:b/>
      <w:color w:val="000000" w:themeColor="text2"/>
      <w:sz w:val="20"/>
      <w:szCs w:val="24"/>
    </w:rPr>
  </w:style>
  <w:style w:type="paragraph" w:styleId="Heading4">
    <w:name w:val="heading 4"/>
    <w:basedOn w:val="PageSubtitle"/>
    <w:next w:val="Normal"/>
    <w:link w:val="Heading4Char"/>
    <w:uiPriority w:val="9"/>
    <w:qFormat/>
    <w:rsid w:val="001E3681"/>
    <w:pPr>
      <w:numPr>
        <w:ilvl w:val="5"/>
      </w:numPr>
      <w:spacing w:before="200"/>
      <w:outlineLvl w:val="3"/>
    </w:pPr>
    <w:rPr>
      <w:b w:val="0"/>
      <w:i/>
      <w:color w:val="auto"/>
      <w:szCs w:val="18"/>
    </w:rPr>
  </w:style>
  <w:style w:type="paragraph" w:styleId="Heading5">
    <w:name w:val="heading 5"/>
    <w:basedOn w:val="Heading4"/>
    <w:next w:val="Normal"/>
    <w:link w:val="Heading5Char"/>
    <w:uiPriority w:val="9"/>
    <w:qFormat/>
    <w:rsid w:val="001E3681"/>
    <w:pPr>
      <w:numPr>
        <w:ilvl w:val="0"/>
        <w:numId w:val="0"/>
      </w:numPr>
      <w:ind w:left="1134" w:hanging="1134"/>
      <w:outlineLvl w:val="4"/>
    </w:pPr>
    <w:rPr>
      <w:b/>
      <w:i w:val="0"/>
      <w:color w:val="2C4BA0" w:themeColor="accent1"/>
      <w:sz w:val="18"/>
    </w:rPr>
  </w:style>
  <w:style w:type="paragraph" w:styleId="Heading6">
    <w:name w:val="heading 6"/>
    <w:basedOn w:val="Heading4"/>
    <w:next w:val="Normal"/>
    <w:link w:val="Heading6Char"/>
    <w:uiPriority w:val="9"/>
    <w:qFormat/>
    <w:rsid w:val="005E29B4"/>
    <w:pPr>
      <w:outlineLvl w:val="5"/>
    </w:pPr>
    <w:rPr>
      <w:b/>
      <w:i w:val="0"/>
      <w:color w:val="6D6868" w:themeColor="accent2"/>
      <w:sz w:val="18"/>
    </w:rPr>
  </w:style>
  <w:style w:type="paragraph" w:styleId="Heading7">
    <w:name w:val="heading 7"/>
    <w:basedOn w:val="Normal"/>
    <w:next w:val="Normal"/>
    <w:link w:val="Heading7Char"/>
    <w:uiPriority w:val="9"/>
    <w:semiHidden/>
    <w:unhideWhenUsed/>
    <w:rsid w:val="00133B8B"/>
    <w:pPr>
      <w:keepNext/>
      <w:keepLines/>
      <w:numPr>
        <w:ilvl w:val="6"/>
        <w:numId w:val="8"/>
      </w:numPr>
      <w:spacing w:before="40" w:after="0"/>
      <w:outlineLvl w:val="6"/>
    </w:pPr>
    <w:rPr>
      <w:rFonts w:asciiTheme="majorHAnsi" w:eastAsiaTheme="majorEastAsia" w:hAnsiTheme="majorHAnsi" w:cstheme="majorBidi"/>
      <w:i/>
      <w:iCs/>
      <w:color w:val="16254F" w:themeColor="accent1" w:themeShade="7F"/>
    </w:rPr>
  </w:style>
  <w:style w:type="paragraph" w:styleId="Heading8">
    <w:name w:val="heading 8"/>
    <w:basedOn w:val="Normal"/>
    <w:next w:val="Normal"/>
    <w:link w:val="Heading8Char"/>
    <w:uiPriority w:val="9"/>
    <w:semiHidden/>
    <w:unhideWhenUsed/>
    <w:qFormat/>
    <w:rsid w:val="00133B8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3B8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6F22E9"/>
    <w:pPr>
      <w:framePr w:wrap="notBeside"/>
      <w:spacing w:after="100" w:line="240" w:lineRule="auto"/>
    </w:pPr>
    <w:rPr>
      <w:b/>
      <w:bCs/>
      <w:caps/>
      <w:color w:val="2C4BA0" w:themeColor="accent1"/>
      <w:spacing w:val="30"/>
      <w:sz w:val="28"/>
      <w:szCs w:val="28"/>
    </w:rPr>
  </w:style>
  <w:style w:type="character" w:customStyle="1" w:styleId="DateChar">
    <w:name w:val="Date Char"/>
    <w:basedOn w:val="DefaultParagraphFont"/>
    <w:link w:val="Date"/>
    <w:uiPriority w:val="99"/>
    <w:rsid w:val="006F22E9"/>
    <w:rPr>
      <w:b/>
      <w:bCs/>
      <w:caps/>
      <w:color w:val="2C4BA0" w:themeColor="accent1"/>
      <w:spacing w:val="30"/>
      <w:sz w:val="28"/>
      <w:szCs w:val="28"/>
    </w:rPr>
  </w:style>
  <w:style w:type="paragraph" w:styleId="NoSpacing">
    <w:name w:val="No Spacing"/>
    <w:basedOn w:val="Normal"/>
    <w:link w:val="NoSpacingChar"/>
    <w:uiPriority w:val="1"/>
    <w:qFormat/>
    <w:rsid w:val="00D34DC7"/>
    <w:pPr>
      <w:spacing w:after="0"/>
    </w:pPr>
  </w:style>
  <w:style w:type="paragraph" w:styleId="ListBullet">
    <w:name w:val="List Bullet"/>
    <w:basedOn w:val="Normal"/>
    <w:uiPriority w:val="99"/>
    <w:unhideWhenUsed/>
    <w:qFormat/>
    <w:rsid w:val="001E3681"/>
    <w:pPr>
      <w:numPr>
        <w:numId w:val="11"/>
      </w:numPr>
    </w:pPr>
  </w:style>
  <w:style w:type="paragraph" w:styleId="ListBullet2">
    <w:name w:val="List Bullet 2"/>
    <w:basedOn w:val="Normal"/>
    <w:uiPriority w:val="99"/>
    <w:unhideWhenUsed/>
    <w:qFormat/>
    <w:rsid w:val="001E3681"/>
    <w:pPr>
      <w:numPr>
        <w:ilvl w:val="1"/>
        <w:numId w:val="11"/>
      </w:numPr>
      <w:ind w:left="568" w:hanging="284"/>
    </w:pPr>
  </w:style>
  <w:style w:type="paragraph" w:styleId="ListNumber">
    <w:name w:val="List Number"/>
    <w:basedOn w:val="Normal"/>
    <w:uiPriority w:val="99"/>
    <w:unhideWhenUsed/>
    <w:qFormat/>
    <w:rsid w:val="00857FCE"/>
    <w:pPr>
      <w:ind w:left="851" w:hanging="851"/>
    </w:pPr>
    <w:rPr>
      <w:b/>
    </w:rPr>
  </w:style>
  <w:style w:type="numbering" w:customStyle="1" w:styleId="Bullets">
    <w:name w:val="Bullets"/>
    <w:uiPriority w:val="99"/>
    <w:rsid w:val="006F22E9"/>
    <w:pPr>
      <w:numPr>
        <w:numId w:val="1"/>
      </w:numPr>
    </w:pPr>
  </w:style>
  <w:style w:type="character" w:customStyle="1" w:styleId="Heading1Char">
    <w:name w:val="Heading 1 Char"/>
    <w:basedOn w:val="DefaultParagraphFont"/>
    <w:link w:val="Heading1"/>
    <w:uiPriority w:val="9"/>
    <w:rsid w:val="001E3681"/>
    <w:rPr>
      <w:rFonts w:asciiTheme="majorHAnsi" w:eastAsiaTheme="majorEastAsia" w:hAnsiTheme="majorHAnsi" w:cstheme="majorBidi"/>
      <w:b/>
      <w:color w:val="2C4BA0" w:themeColor="accent1"/>
      <w:sz w:val="44"/>
      <w:szCs w:val="32"/>
    </w:rPr>
  </w:style>
  <w:style w:type="paragraph" w:styleId="ListNumber2">
    <w:name w:val="List Number 2"/>
    <w:basedOn w:val="Normal"/>
    <w:uiPriority w:val="99"/>
    <w:unhideWhenUsed/>
    <w:qFormat/>
    <w:rsid w:val="00857FCE"/>
    <w:pPr>
      <w:ind w:left="851" w:hanging="851"/>
    </w:pPr>
  </w:style>
  <w:style w:type="character" w:customStyle="1" w:styleId="Heading2Char">
    <w:name w:val="Heading 2 Char"/>
    <w:basedOn w:val="DefaultParagraphFont"/>
    <w:link w:val="Heading2"/>
    <w:uiPriority w:val="9"/>
    <w:rsid w:val="001E3681"/>
    <w:rPr>
      <w:rFonts w:asciiTheme="majorHAnsi" w:eastAsiaTheme="majorEastAsia" w:hAnsiTheme="majorHAnsi" w:cstheme="majorBidi"/>
      <w:b/>
      <w:color w:val="2C4BA0" w:themeColor="accent1"/>
      <w:sz w:val="28"/>
      <w:szCs w:val="26"/>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unhideWhenUsed/>
    <w:rsid w:val="006F2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link w:val="FooterChar"/>
    <w:uiPriority w:val="99"/>
    <w:unhideWhenUsed/>
    <w:rsid w:val="006F22E9"/>
    <w:pPr>
      <w:tabs>
        <w:tab w:val="right" w:pos="9044"/>
      </w:tabs>
      <w:spacing w:after="0" w:line="228" w:lineRule="auto"/>
    </w:pPr>
    <w:rPr>
      <w:color w:val="6F7072" w:themeColor="accent6"/>
      <w:sz w:val="16"/>
    </w:rPr>
  </w:style>
  <w:style w:type="character" w:customStyle="1" w:styleId="FooterChar">
    <w:name w:val="Footer Char"/>
    <w:basedOn w:val="DefaultParagraphFont"/>
    <w:link w:val="Footer"/>
    <w:uiPriority w:val="99"/>
    <w:rsid w:val="006F22E9"/>
    <w:rPr>
      <w:color w:val="6F7072" w:themeColor="accent6"/>
      <w:sz w:val="16"/>
    </w:rPr>
  </w:style>
  <w:style w:type="numbering" w:customStyle="1" w:styleId="Numbering">
    <w:name w:val="Numbering"/>
    <w:uiPriority w:val="99"/>
    <w:rsid w:val="00857FCE"/>
    <w:pPr>
      <w:numPr>
        <w:numId w:val="2"/>
      </w:numPr>
    </w:pPr>
  </w:style>
  <w:style w:type="paragraph" w:styleId="ListBullet3">
    <w:name w:val="List Bullet 3"/>
    <w:basedOn w:val="Normal"/>
    <w:uiPriority w:val="99"/>
    <w:unhideWhenUsed/>
    <w:qFormat/>
    <w:rsid w:val="006F22E9"/>
    <w:pPr>
      <w:numPr>
        <w:ilvl w:val="2"/>
        <w:numId w:val="11"/>
      </w:numPr>
    </w:pPr>
  </w:style>
  <w:style w:type="paragraph" w:styleId="ListContinue2">
    <w:name w:val="List Continue 2"/>
    <w:basedOn w:val="Normal"/>
    <w:uiPriority w:val="99"/>
    <w:unhideWhenUsed/>
    <w:qFormat/>
    <w:rsid w:val="006427AC"/>
    <w:pPr>
      <w:ind w:left="567"/>
    </w:pPr>
  </w:style>
  <w:style w:type="paragraph" w:styleId="ListNumber3">
    <w:name w:val="List Number 3"/>
    <w:basedOn w:val="Normal"/>
    <w:uiPriority w:val="99"/>
    <w:unhideWhenUsed/>
    <w:qFormat/>
    <w:rsid w:val="00857FCE"/>
    <w:pPr>
      <w:tabs>
        <w:tab w:val="num" w:pos="1134"/>
      </w:tabs>
      <w:ind w:left="851" w:hanging="851"/>
    </w:pPr>
  </w:style>
  <w:style w:type="paragraph" w:styleId="ListNumber4">
    <w:name w:val="List Number 4"/>
    <w:basedOn w:val="Normal"/>
    <w:uiPriority w:val="99"/>
    <w:unhideWhenUsed/>
    <w:qFormat/>
    <w:rsid w:val="00857FCE"/>
    <w:pPr>
      <w:ind w:left="851" w:hanging="851"/>
    </w:pPr>
  </w:style>
  <w:style w:type="paragraph" w:styleId="ListNumber5">
    <w:name w:val="List Number 5"/>
    <w:basedOn w:val="Normal"/>
    <w:uiPriority w:val="99"/>
    <w:unhideWhenUsed/>
    <w:rsid w:val="00857FCE"/>
    <w:pPr>
      <w:ind w:left="1134" w:hanging="1134"/>
      <w:contextualSpacing/>
    </w:pPr>
  </w:style>
  <w:style w:type="paragraph" w:styleId="ListContinue">
    <w:name w:val="List Continue"/>
    <w:basedOn w:val="Normal"/>
    <w:uiPriority w:val="99"/>
    <w:unhideWhenUsed/>
    <w:qFormat/>
    <w:rsid w:val="006427AC"/>
    <w:pPr>
      <w:ind w:left="284"/>
    </w:pPr>
  </w:style>
  <w:style w:type="paragraph" w:styleId="ListContinue3">
    <w:name w:val="List Continue 3"/>
    <w:basedOn w:val="Normal"/>
    <w:uiPriority w:val="99"/>
    <w:unhideWhenUsed/>
    <w:qFormat/>
    <w:rsid w:val="006427AC"/>
    <w:pPr>
      <w:ind w:left="851"/>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1E3681"/>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1E3681"/>
    <w:rPr>
      <w:rFonts w:asciiTheme="majorHAnsi" w:eastAsiaTheme="majorEastAsia" w:hAnsiTheme="majorHAnsi" w:cstheme="majorBidi"/>
      <w:i/>
      <w:sz w:val="20"/>
      <w:szCs w:val="18"/>
    </w:rPr>
  </w:style>
  <w:style w:type="character" w:customStyle="1" w:styleId="Heading5Char">
    <w:name w:val="Heading 5 Char"/>
    <w:basedOn w:val="DefaultParagraphFont"/>
    <w:link w:val="Heading5"/>
    <w:uiPriority w:val="9"/>
    <w:rsid w:val="001E3681"/>
    <w:rPr>
      <w:rFonts w:asciiTheme="majorHAnsi" w:eastAsiaTheme="majorEastAsia" w:hAnsiTheme="majorHAnsi" w:cstheme="majorBidi"/>
      <w:b/>
      <w:color w:val="2C4BA0" w:themeColor="accent1"/>
      <w:sz w:val="18"/>
      <w:szCs w:val="18"/>
    </w:rPr>
  </w:style>
  <w:style w:type="numbering" w:customStyle="1" w:styleId="ListHeadings">
    <w:name w:val="List Headings"/>
    <w:uiPriority w:val="99"/>
    <w:rsid w:val="005E29B4"/>
    <w:pPr>
      <w:numPr>
        <w:numId w:val="3"/>
      </w:numPr>
    </w:pPr>
  </w:style>
  <w:style w:type="paragraph" w:styleId="Title">
    <w:name w:val="Title"/>
    <w:basedOn w:val="Normal"/>
    <w:next w:val="Normal"/>
    <w:link w:val="TitleChar"/>
    <w:uiPriority w:val="10"/>
    <w:rsid w:val="001E3681"/>
    <w:pPr>
      <w:framePr w:w="6991" w:h="2268" w:wrap="around" w:vAnchor="page" w:hAnchor="page" w:x="426" w:y="2269" w:anchorLock="1"/>
      <w:spacing w:after="0" w:line="230" w:lineRule="auto"/>
    </w:pPr>
    <w:rPr>
      <w:sz w:val="44"/>
    </w:rPr>
  </w:style>
  <w:style w:type="character" w:customStyle="1" w:styleId="TitleChar">
    <w:name w:val="Title Char"/>
    <w:basedOn w:val="DefaultParagraphFont"/>
    <w:link w:val="Title"/>
    <w:uiPriority w:val="10"/>
    <w:rsid w:val="001E3681"/>
    <w:rPr>
      <w:sz w:val="44"/>
    </w:rPr>
  </w:style>
  <w:style w:type="paragraph" w:customStyle="1" w:styleId="Call-outbox">
    <w:name w:val="Call-out box"/>
    <w:basedOn w:val="Normal"/>
    <w:link w:val="Call-outboxChar"/>
    <w:uiPriority w:val="15"/>
    <w:rsid w:val="007F777E"/>
    <w:pPr>
      <w:framePr w:w="3402" w:wrap="around" w:vAnchor="text" w:hAnchor="text" w:y="1"/>
      <w:pBdr>
        <w:top w:val="single" w:sz="4" w:space="4" w:color="F1F2F2" w:themeColor="accent3"/>
        <w:left w:val="single" w:sz="4" w:space="4" w:color="F1F2F2" w:themeColor="accent3"/>
        <w:bottom w:val="single" w:sz="4" w:space="4" w:color="F1F2F2" w:themeColor="accent3"/>
        <w:right w:val="single" w:sz="4" w:space="4" w:color="F1F2F2" w:themeColor="accent3"/>
      </w:pBdr>
      <w:shd w:val="clear" w:color="auto" w:fill="F1F2F2" w:themeFill="accent3"/>
      <w:ind w:left="113" w:right="113"/>
    </w:pPr>
  </w:style>
  <w:style w:type="paragraph" w:customStyle="1" w:styleId="Call-outboxHeadingwithicon">
    <w:name w:val="Call-out box Heading with icon"/>
    <w:basedOn w:val="Call-outbox"/>
    <w:next w:val="Call-outbox"/>
    <w:link w:val="Call-outboxHeadingwithiconChar"/>
    <w:uiPriority w:val="15"/>
    <w:rsid w:val="007F777E"/>
    <w:pPr>
      <w:framePr w:wrap="around"/>
      <w:numPr>
        <w:numId w:val="15"/>
      </w:numPr>
      <w:spacing w:after="80"/>
    </w:pPr>
    <w:rPr>
      <w:b/>
      <w:color w:val="2C4BA0" w:themeColor="accent1"/>
    </w:rPr>
  </w:style>
  <w:style w:type="character" w:customStyle="1" w:styleId="Call-outboxChar">
    <w:name w:val="Call-out box Char"/>
    <w:basedOn w:val="DefaultParagraphFont"/>
    <w:link w:val="Call-outbox"/>
    <w:uiPriority w:val="15"/>
    <w:rsid w:val="007F777E"/>
    <w:rPr>
      <w:sz w:val="18"/>
      <w:shd w:val="clear" w:color="auto" w:fill="F1F2F2" w:themeFill="accent3"/>
    </w:rPr>
  </w:style>
  <w:style w:type="character" w:customStyle="1" w:styleId="Call-outboxHeadingwithiconChar">
    <w:name w:val="Call-out box Heading with icon Char"/>
    <w:basedOn w:val="Call-outboxChar"/>
    <w:link w:val="Call-outboxHeadingwithicon"/>
    <w:uiPriority w:val="15"/>
    <w:rsid w:val="007F777E"/>
    <w:rPr>
      <w:b/>
      <w:color w:val="2C4BA0" w:themeColor="accent1"/>
      <w:sz w:val="18"/>
      <w:shd w:val="clear" w:color="auto" w:fill="F1F2F2" w:themeFill="accent3"/>
    </w:rPr>
  </w:style>
  <w:style w:type="paragraph" w:customStyle="1" w:styleId="Heading1-NoNumber">
    <w:name w:val="Heading 1 - No Number"/>
    <w:basedOn w:val="Heading1"/>
    <w:next w:val="Normal"/>
    <w:link w:val="Heading1-NoNumberChar"/>
    <w:uiPriority w:val="9"/>
    <w:qFormat/>
    <w:rsid w:val="001E3681"/>
    <w:pPr>
      <w:numPr>
        <w:numId w:val="0"/>
      </w:numPr>
      <w:outlineLvl w:val="9"/>
    </w:pPr>
  </w:style>
  <w:style w:type="paragraph" w:customStyle="1" w:styleId="Heading2-NoNumber">
    <w:name w:val="Heading 2 - No Number"/>
    <w:basedOn w:val="Heading2"/>
    <w:next w:val="Normal"/>
    <w:link w:val="Heading2-NoNumberChar"/>
    <w:uiPriority w:val="9"/>
    <w:qFormat/>
    <w:rsid w:val="006F22E9"/>
    <w:pPr>
      <w:numPr>
        <w:ilvl w:val="0"/>
        <w:numId w:val="0"/>
      </w:numPr>
      <w:outlineLvl w:val="9"/>
    </w:pPr>
  </w:style>
  <w:style w:type="character" w:customStyle="1" w:styleId="Heading1-NoNumberChar">
    <w:name w:val="Heading 1 - No Number Char"/>
    <w:basedOn w:val="Heading1Char"/>
    <w:link w:val="Heading1-NoNumber"/>
    <w:uiPriority w:val="9"/>
    <w:rsid w:val="001E3681"/>
    <w:rPr>
      <w:rFonts w:asciiTheme="majorHAnsi" w:eastAsiaTheme="majorEastAsia" w:hAnsiTheme="majorHAnsi" w:cstheme="majorBidi"/>
      <w:b/>
      <w:color w:val="2C4BA0" w:themeColor="accent1"/>
      <w:sz w:val="44"/>
      <w:szCs w:val="32"/>
    </w:rPr>
  </w:style>
  <w:style w:type="character" w:customStyle="1" w:styleId="Heading2-NoNumberChar">
    <w:name w:val="Heading 2 - No Number Char"/>
    <w:basedOn w:val="Heading2Char"/>
    <w:link w:val="Heading2-NoNumber"/>
    <w:uiPriority w:val="9"/>
    <w:rsid w:val="006F22E9"/>
    <w:rPr>
      <w:rFonts w:asciiTheme="majorHAnsi" w:eastAsiaTheme="majorEastAsia" w:hAnsiTheme="majorHAnsi" w:cstheme="majorBidi"/>
      <w:b/>
      <w:color w:val="2C4BA0" w:themeColor="accent1"/>
      <w:sz w:val="28"/>
      <w:szCs w:val="26"/>
    </w:rPr>
  </w:style>
  <w:style w:type="paragraph" w:styleId="ListContinue5">
    <w:name w:val="List Continue 5"/>
    <w:basedOn w:val="Normal"/>
    <w:uiPriority w:val="99"/>
    <w:unhideWhenUsed/>
    <w:rsid w:val="00593314"/>
    <w:pPr>
      <w:ind w:left="1415"/>
      <w:contextualSpacing/>
    </w:pPr>
  </w:style>
  <w:style w:type="table" w:styleId="TableGrid">
    <w:name w:val="Table Grid"/>
    <w:aliases w:val="Contents Tables,NWRL Table,McLL Table General Text,PB Table,SWRL,TfNSW Table,ICB Table,Table Grid Main Report,Table Financial Statements"/>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Caption Char Char Char Char,Caption1 Char Char,Caption Char Char,Caption Char Char Char Char Char Char Char,Caption Char1,Caption Char Char Char Char1,Caption1 Char Char1,Caption Char Char1 Char Char Char,Table Caption,Char,Figure,Item"/>
    <w:basedOn w:val="Normal"/>
    <w:next w:val="Normal"/>
    <w:link w:val="CaptionChar"/>
    <w:uiPriority w:val="35"/>
    <w:unhideWhenUsed/>
    <w:qFormat/>
    <w:rsid w:val="001E3681"/>
    <w:pPr>
      <w:tabs>
        <w:tab w:val="left" w:pos="1134"/>
      </w:tabs>
      <w:spacing w:before="60" w:after="60"/>
    </w:pPr>
    <w:rPr>
      <w:sz w:val="16"/>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Title"/>
    <w:next w:val="Normal"/>
    <w:link w:val="SubtitleChar"/>
    <w:uiPriority w:val="11"/>
    <w:rsid w:val="008E6341"/>
    <w:pPr>
      <w:framePr w:wrap="around"/>
      <w:spacing w:after="100" w:line="240" w:lineRule="auto"/>
    </w:pPr>
    <w:rPr>
      <w:b/>
      <w:caps/>
      <w:color w:val="2C4BA0" w:themeColor="accent1"/>
      <w:spacing w:val="30"/>
      <w:sz w:val="28"/>
    </w:rPr>
  </w:style>
  <w:style w:type="character" w:customStyle="1" w:styleId="SubtitleChar">
    <w:name w:val="Subtitle Char"/>
    <w:basedOn w:val="DefaultParagraphFont"/>
    <w:link w:val="Subtitle"/>
    <w:uiPriority w:val="11"/>
    <w:rsid w:val="008E6341"/>
    <w:rPr>
      <w:b/>
      <w:caps/>
      <w:color w:val="2C4BA0" w:themeColor="accent1"/>
      <w:spacing w:val="30"/>
      <w:sz w:val="28"/>
    </w:rPr>
  </w:style>
  <w:style w:type="paragraph" w:styleId="TOCHeading">
    <w:name w:val="TOC Heading"/>
    <w:basedOn w:val="Heading1"/>
    <w:next w:val="Normal"/>
    <w:uiPriority w:val="39"/>
    <w:unhideWhenUsed/>
    <w:rsid w:val="0029092F"/>
    <w:pPr>
      <w:spacing w:after="400"/>
      <w:ind w:left="0" w:firstLine="0"/>
      <w:outlineLvl w:val="9"/>
    </w:pPr>
    <w:rPr>
      <w:color w:val="FFFFFF" w:themeColor="background1"/>
      <w:lang w:val="en-US"/>
    </w:rPr>
  </w:style>
  <w:style w:type="paragraph" w:styleId="TOC2">
    <w:name w:val="toc 2"/>
    <w:basedOn w:val="Normal"/>
    <w:next w:val="Normal"/>
    <w:autoRedefine/>
    <w:uiPriority w:val="39"/>
    <w:unhideWhenUsed/>
    <w:rsid w:val="008655C1"/>
    <w:pPr>
      <w:pBdr>
        <w:bottom w:val="single" w:sz="4" w:space="1" w:color="FFFFFF" w:themeColor="background1"/>
        <w:between w:val="single" w:sz="4" w:space="1" w:color="FFFFFF" w:themeColor="background1"/>
      </w:pBdr>
      <w:tabs>
        <w:tab w:val="left" w:pos="1134"/>
        <w:tab w:val="right" w:pos="9072"/>
      </w:tabs>
      <w:spacing w:before="60" w:after="0" w:line="300" w:lineRule="auto"/>
      <w:ind w:firstLine="567"/>
    </w:pPr>
    <w:rPr>
      <w:color w:val="FFFFFF" w:themeColor="background1"/>
    </w:rPr>
  </w:style>
  <w:style w:type="paragraph" w:styleId="TOC3">
    <w:name w:val="toc 3"/>
    <w:basedOn w:val="Normal"/>
    <w:next w:val="Normal"/>
    <w:autoRedefine/>
    <w:uiPriority w:val="39"/>
    <w:unhideWhenUsed/>
    <w:rsid w:val="008655C1"/>
    <w:pPr>
      <w:pBdr>
        <w:bottom w:val="single" w:sz="4" w:space="1" w:color="FFFFFF" w:themeColor="background1"/>
        <w:between w:val="single" w:sz="4" w:space="1" w:color="FFFFFF" w:themeColor="background1"/>
      </w:pBdr>
      <w:tabs>
        <w:tab w:val="left" w:pos="1701"/>
        <w:tab w:val="right" w:pos="9072"/>
      </w:tabs>
      <w:spacing w:before="60" w:after="0" w:line="300" w:lineRule="auto"/>
      <w:ind w:firstLine="1134"/>
    </w:pPr>
    <w:rPr>
      <w:color w:val="FFFFFF" w:themeColor="background1"/>
    </w:rPr>
  </w:style>
  <w:style w:type="character" w:styleId="Hyperlink">
    <w:name w:val="Hyperlink"/>
    <w:basedOn w:val="DefaultParagraphFont"/>
    <w:uiPriority w:val="99"/>
    <w:unhideWhenUsed/>
    <w:rsid w:val="006F22E9"/>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CoverLogo">
    <w:name w:val="Cover Logo"/>
    <w:link w:val="CoverLogoChar"/>
    <w:rsid w:val="006F22E9"/>
    <w:pPr>
      <w:framePr w:w="964" w:h="635" w:hRule="exact" w:wrap="around" w:vAnchor="page" w:hAnchor="page" w:x="10281" w:y="15582" w:anchorLock="1"/>
      <w:spacing w:after="0" w:line="240" w:lineRule="auto"/>
    </w:pPr>
    <w:rPr>
      <w:sz w:val="18"/>
    </w:rPr>
  </w:style>
  <w:style w:type="paragraph" w:customStyle="1" w:styleId="CoverDetails">
    <w:name w:val="Cover Details"/>
    <w:link w:val="CoverDetailsChar"/>
    <w:rsid w:val="006F22E9"/>
    <w:pPr>
      <w:framePr w:w="7655" w:h="454" w:hRule="exact" w:wrap="around" w:vAnchor="page" w:hAnchor="page" w:x="698" w:y="15707" w:anchorLock="1"/>
      <w:spacing w:after="0" w:line="240" w:lineRule="auto"/>
    </w:pPr>
    <w:rPr>
      <w:b/>
      <w:color w:val="FFFFFF" w:themeColor="background1"/>
      <w:sz w:val="16"/>
    </w:rPr>
  </w:style>
  <w:style w:type="character" w:customStyle="1" w:styleId="NoSpacingChar">
    <w:name w:val="No Spacing Char"/>
    <w:basedOn w:val="DefaultParagraphFont"/>
    <w:link w:val="NoSpacing"/>
    <w:uiPriority w:val="1"/>
    <w:rsid w:val="0081673B"/>
    <w:rPr>
      <w:sz w:val="18"/>
    </w:rPr>
  </w:style>
  <w:style w:type="character" w:customStyle="1" w:styleId="CoverLogoChar">
    <w:name w:val="Cover Logo Char"/>
    <w:basedOn w:val="NoSpacingChar"/>
    <w:link w:val="CoverLogo"/>
    <w:rsid w:val="006F22E9"/>
    <w:rPr>
      <w:sz w:val="18"/>
    </w:rPr>
  </w:style>
  <w:style w:type="paragraph" w:customStyle="1" w:styleId="CoverDescription">
    <w:name w:val="Cover Description"/>
    <w:link w:val="CoverDescriptionChar"/>
    <w:rsid w:val="006F22E9"/>
    <w:pPr>
      <w:framePr w:w="6708" w:wrap="around" w:vAnchor="page" w:hAnchor="page" w:x="710" w:y="5121" w:anchorLock="1"/>
      <w:spacing w:after="0" w:line="240" w:lineRule="auto"/>
    </w:pPr>
    <w:rPr>
      <w:b/>
      <w:color w:val="FFFFFF" w:themeColor="background1"/>
      <w:sz w:val="36"/>
    </w:rPr>
  </w:style>
  <w:style w:type="character" w:customStyle="1" w:styleId="CoverDetailsChar">
    <w:name w:val="Cover Details Char"/>
    <w:basedOn w:val="DefaultParagraphFont"/>
    <w:link w:val="CoverDetails"/>
    <w:rsid w:val="006F22E9"/>
    <w:rPr>
      <w:b/>
      <w:color w:val="FFFFFF" w:themeColor="background1"/>
      <w:sz w:val="16"/>
    </w:rPr>
  </w:style>
  <w:style w:type="paragraph" w:styleId="Quote">
    <w:name w:val="Quote"/>
    <w:basedOn w:val="Normal"/>
    <w:next w:val="Normal"/>
    <w:link w:val="QuoteChar"/>
    <w:uiPriority w:val="29"/>
    <w:qFormat/>
    <w:rsid w:val="00CC6183"/>
    <w:pPr>
      <w:spacing w:before="540" w:after="540"/>
    </w:pPr>
    <w:rPr>
      <w:color w:val="2C4BA0" w:themeColor="accent1"/>
      <w:sz w:val="24"/>
      <w:szCs w:val="24"/>
    </w:rPr>
  </w:style>
  <w:style w:type="character" w:customStyle="1" w:styleId="CoverDescriptionChar">
    <w:name w:val="Cover Description Char"/>
    <w:basedOn w:val="DefaultParagraphFont"/>
    <w:link w:val="CoverDescription"/>
    <w:rsid w:val="006F22E9"/>
    <w:rPr>
      <w:b/>
      <w:color w:val="FFFFFF" w:themeColor="background1"/>
      <w:sz w:val="36"/>
    </w:rPr>
  </w:style>
  <w:style w:type="character" w:customStyle="1" w:styleId="QuoteChar">
    <w:name w:val="Quote Char"/>
    <w:basedOn w:val="DefaultParagraphFont"/>
    <w:link w:val="Quote"/>
    <w:uiPriority w:val="29"/>
    <w:rsid w:val="00CC6183"/>
    <w:rPr>
      <w:color w:val="2C4BA0" w:themeColor="accent1"/>
      <w:sz w:val="24"/>
      <w:szCs w:val="24"/>
    </w:rPr>
  </w:style>
  <w:style w:type="paragraph" w:customStyle="1" w:styleId="PageSubtitle">
    <w:name w:val="Page Subtitle"/>
    <w:basedOn w:val="Heading3"/>
    <w:next w:val="Normal"/>
    <w:link w:val="PageSubtitleChar"/>
    <w:uiPriority w:val="8"/>
    <w:qFormat/>
    <w:rsid w:val="00E85FE7"/>
    <w:pPr>
      <w:ind w:left="0" w:firstLine="0"/>
      <w:outlineLvl w:val="9"/>
    </w:pPr>
  </w:style>
  <w:style w:type="paragraph" w:customStyle="1" w:styleId="BG">
    <w:name w:val="BG"/>
    <w:next w:val="Normal"/>
    <w:link w:val="BGChar"/>
    <w:rsid w:val="00DB680C"/>
    <w:pPr>
      <w:framePr w:wrap="around" w:vAnchor="page" w:hAnchor="page" w:x="1" w:y="1" w:anchorLock="1"/>
      <w:spacing w:after="0" w:line="240" w:lineRule="auto"/>
    </w:pPr>
    <w:rPr>
      <w:sz w:val="18"/>
    </w:rPr>
  </w:style>
  <w:style w:type="character" w:customStyle="1" w:styleId="PageSubtitleChar">
    <w:name w:val="Page Subtitle Char"/>
    <w:basedOn w:val="Heading3Char"/>
    <w:link w:val="PageSubtitle"/>
    <w:uiPriority w:val="8"/>
    <w:rsid w:val="007074FE"/>
    <w:rPr>
      <w:rFonts w:asciiTheme="majorHAnsi" w:eastAsiaTheme="majorEastAsia" w:hAnsiTheme="majorHAnsi" w:cstheme="majorBidi"/>
      <w:b/>
      <w:color w:val="000000" w:themeColor="text2"/>
      <w:sz w:val="20"/>
      <w:szCs w:val="24"/>
    </w:rPr>
  </w:style>
  <w:style w:type="table" w:customStyle="1" w:styleId="WVTTable2">
    <w:name w:val="WVT Table 2"/>
    <w:basedOn w:val="TableNormal"/>
    <w:uiPriority w:val="99"/>
    <w:rsid w:val="000D422D"/>
    <w:pPr>
      <w:spacing w:after="0" w:line="240" w:lineRule="auto"/>
    </w:pPr>
    <w:tblPr>
      <w:tblStyleRowBandSize w:val="1"/>
      <w:tblStyleColBandSize w:val="1"/>
      <w:tblBorders>
        <w:insideH w:val="single" w:sz="8" w:space="0" w:color="FFFFFF" w:themeColor="background1"/>
      </w:tblBorders>
      <w:tblCellMar>
        <w:top w:w="57" w:type="dxa"/>
        <w:bottom w:w="57" w:type="dxa"/>
      </w:tblCellMar>
    </w:tblPr>
    <w:tcPr>
      <w:shd w:val="clear" w:color="auto" w:fill="F1F2F2" w:themeFill="accent3"/>
    </w:tcPr>
    <w:tblStylePr w:type="firstRow">
      <w:rPr>
        <w:b/>
        <w:color w:val="FFFFFF" w:themeColor="background1"/>
      </w:rPr>
      <w:tblPr/>
      <w:tcPr>
        <w:shd w:val="clear" w:color="auto" w:fill="6D6868" w:themeFill="accent2"/>
      </w:tcPr>
    </w:tblStylePr>
    <w:tblStylePr w:type="firstCol">
      <w:rPr>
        <w:b/>
        <w:color w:val="FFFFFF" w:themeColor="background1"/>
      </w:rPr>
      <w:tblPr/>
      <w:tcPr>
        <w:shd w:val="clear" w:color="auto" w:fill="6D6868" w:themeFill="accent2"/>
      </w:tcPr>
    </w:tblStylePr>
    <w:tblStylePr w:type="band2Horz">
      <w:tblPr/>
      <w:tcPr>
        <w:shd w:val="clear" w:color="auto" w:fill="FFFFFF" w:themeFill="background2"/>
      </w:tcPr>
    </w:tblStylePr>
  </w:style>
  <w:style w:type="character" w:customStyle="1" w:styleId="BGChar">
    <w:name w:val="BG Char"/>
    <w:basedOn w:val="DefaultParagraphFont"/>
    <w:link w:val="BG"/>
    <w:rsid w:val="00DB680C"/>
    <w:rPr>
      <w:sz w:val="18"/>
    </w:rPr>
  </w:style>
  <w:style w:type="table" w:customStyle="1" w:styleId="WVTTable1">
    <w:name w:val="WVT Table 1"/>
    <w:basedOn w:val="TableNormal"/>
    <w:uiPriority w:val="99"/>
    <w:rsid w:val="0043211E"/>
    <w:pPr>
      <w:spacing w:after="0" w:line="240" w:lineRule="auto"/>
    </w:pPr>
    <w:rPr>
      <w:sz w:val="16"/>
    </w:rPr>
    <w:tblPr>
      <w:tblStyleRowBandSize w:val="1"/>
      <w:tblBorders>
        <w:insideH w:val="single" w:sz="8" w:space="0" w:color="FFFFFF" w:themeColor="background1"/>
      </w:tblBorders>
      <w:tblCellMar>
        <w:top w:w="85" w:type="dxa"/>
        <w:left w:w="85" w:type="dxa"/>
        <w:bottom w:w="85" w:type="dxa"/>
        <w:right w:w="85" w:type="dxa"/>
      </w:tblCellMar>
    </w:tblPr>
    <w:tcPr>
      <w:shd w:val="clear" w:color="auto" w:fill="F1F2F2" w:themeFill="accent3"/>
    </w:tcPr>
    <w:tblStylePr w:type="firstRow">
      <w:rPr>
        <w:b/>
        <w:color w:val="6D6868" w:themeColor="accent2"/>
      </w:rPr>
      <w:tblPr/>
      <w:tcPr>
        <w:tcBorders>
          <w:top w:val="single" w:sz="8" w:space="0" w:color="6D6868" w:themeColor="accent2"/>
          <w:left w:val="nil"/>
          <w:bottom w:val="single" w:sz="8" w:space="0" w:color="6D6868" w:themeColor="accent2"/>
          <w:right w:val="nil"/>
          <w:insideH w:val="nil"/>
          <w:insideV w:val="nil"/>
          <w:tl2br w:val="nil"/>
          <w:tr2bl w:val="nil"/>
        </w:tcBorders>
        <w:shd w:val="clear" w:color="auto" w:fill="FFFFFF" w:themeFill="background1"/>
      </w:tcPr>
    </w:tblStylePr>
    <w:tblStylePr w:type="firstCol">
      <w:rPr>
        <w:b/>
        <w:color w:val="6D6868" w:themeColor="accent2"/>
      </w:rPr>
    </w:tblStylePr>
    <w:tblStylePr w:type="band2Horz">
      <w:tblPr/>
      <w:tcPr>
        <w:shd w:val="clear" w:color="auto" w:fill="FFFFFF" w:themeFill="background1"/>
      </w:tcPr>
    </w:tblStylePr>
  </w:style>
  <w:style w:type="table" w:styleId="TableGridLight">
    <w:name w:val="Grid Table Light"/>
    <w:basedOn w:val="TableNormal"/>
    <w:uiPriority w:val="40"/>
    <w:rsid w:val="006651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4">
    <w:name w:val="List Bullet 4"/>
    <w:basedOn w:val="Normal"/>
    <w:uiPriority w:val="99"/>
    <w:unhideWhenUsed/>
    <w:qFormat/>
    <w:rsid w:val="006F22E9"/>
    <w:pPr>
      <w:numPr>
        <w:ilvl w:val="3"/>
        <w:numId w:val="11"/>
      </w:numPr>
    </w:pPr>
  </w:style>
  <w:style w:type="numbering" w:customStyle="1" w:styleId="TableNumbersBullets">
    <w:name w:val="Table Numbers &amp; Bullets"/>
    <w:uiPriority w:val="99"/>
    <w:rsid w:val="00EF0F33"/>
    <w:pPr>
      <w:numPr>
        <w:numId w:val="5"/>
      </w:numPr>
    </w:pPr>
  </w:style>
  <w:style w:type="paragraph" w:customStyle="1" w:styleId="TableText">
    <w:name w:val="Table Text"/>
    <w:aliases w:val="Para 0,Auto,After:  3 pt,tt,fmstabletext,fmstabletext + Courier New,8 pt,Top: (Single solid line,... +...,fmstabletext Char Char Char Char Char Char,Normal +Centre:  3 pt,Line spacing:  1.5 lines,REPORT Para 0,tx"/>
    <w:basedOn w:val="Normal"/>
    <w:link w:val="TableTextChar"/>
    <w:uiPriority w:val="4"/>
    <w:qFormat/>
    <w:rsid w:val="001E3681"/>
    <w:pPr>
      <w:spacing w:after="40"/>
    </w:pPr>
    <w:rPr>
      <w:sz w:val="16"/>
      <w:szCs w:val="16"/>
    </w:rPr>
  </w:style>
  <w:style w:type="paragraph" w:customStyle="1" w:styleId="TableBullet">
    <w:name w:val="Table Bullet"/>
    <w:basedOn w:val="TableText"/>
    <w:link w:val="TableBulletChar"/>
    <w:uiPriority w:val="7"/>
    <w:qFormat/>
    <w:rsid w:val="00EF0F33"/>
    <w:pPr>
      <w:numPr>
        <w:ilvl w:val="1"/>
        <w:numId w:val="6"/>
      </w:numPr>
    </w:pPr>
  </w:style>
  <w:style w:type="character" w:customStyle="1" w:styleId="TableTextChar">
    <w:name w:val="Table Text Char"/>
    <w:basedOn w:val="DefaultParagraphFont"/>
    <w:link w:val="TableText"/>
    <w:uiPriority w:val="4"/>
    <w:rsid w:val="001E3681"/>
    <w:rPr>
      <w:sz w:val="16"/>
      <w:szCs w:val="16"/>
    </w:rPr>
  </w:style>
  <w:style w:type="paragraph" w:customStyle="1" w:styleId="TableBullet2">
    <w:name w:val="Table Bullet 2"/>
    <w:basedOn w:val="TableText"/>
    <w:link w:val="TableBullet2Char"/>
    <w:uiPriority w:val="7"/>
    <w:qFormat/>
    <w:rsid w:val="00EF0F33"/>
    <w:pPr>
      <w:numPr>
        <w:ilvl w:val="2"/>
        <w:numId w:val="6"/>
      </w:numPr>
    </w:pPr>
  </w:style>
  <w:style w:type="character" w:customStyle="1" w:styleId="TableBulletChar">
    <w:name w:val="Table Bullet Char"/>
    <w:basedOn w:val="TableTextChar"/>
    <w:link w:val="TableBullet"/>
    <w:uiPriority w:val="7"/>
    <w:rsid w:val="007074FE"/>
    <w:rPr>
      <w:sz w:val="16"/>
      <w:szCs w:val="16"/>
    </w:rPr>
  </w:style>
  <w:style w:type="paragraph" w:customStyle="1" w:styleId="TableNumbers">
    <w:name w:val="Table Numbers"/>
    <w:basedOn w:val="TableText"/>
    <w:link w:val="TableNumbersChar"/>
    <w:uiPriority w:val="7"/>
    <w:qFormat/>
    <w:rsid w:val="00EF0F33"/>
    <w:pPr>
      <w:numPr>
        <w:numId w:val="6"/>
      </w:numPr>
    </w:pPr>
  </w:style>
  <w:style w:type="character" w:customStyle="1" w:styleId="TableBullet2Char">
    <w:name w:val="Table Bullet 2 Char"/>
    <w:basedOn w:val="TableTextChar"/>
    <w:link w:val="TableBullet2"/>
    <w:uiPriority w:val="7"/>
    <w:rsid w:val="007074FE"/>
    <w:rPr>
      <w:sz w:val="16"/>
      <w:szCs w:val="16"/>
    </w:rPr>
  </w:style>
  <w:style w:type="character" w:customStyle="1" w:styleId="Heading6Char">
    <w:name w:val="Heading 6 Char"/>
    <w:basedOn w:val="DefaultParagraphFont"/>
    <w:link w:val="Heading6"/>
    <w:uiPriority w:val="9"/>
    <w:rsid w:val="005E29B4"/>
    <w:rPr>
      <w:rFonts w:asciiTheme="majorHAnsi" w:eastAsiaTheme="majorEastAsia" w:hAnsiTheme="majorHAnsi" w:cstheme="majorBidi"/>
      <w:b/>
      <w:color w:val="6D6868" w:themeColor="accent2"/>
      <w:sz w:val="18"/>
      <w:szCs w:val="18"/>
    </w:rPr>
  </w:style>
  <w:style w:type="character" w:customStyle="1" w:styleId="TableNumbersChar">
    <w:name w:val="Table Numbers Char"/>
    <w:basedOn w:val="TableTextChar"/>
    <w:link w:val="TableNumbers"/>
    <w:uiPriority w:val="7"/>
    <w:rsid w:val="007074FE"/>
    <w:rPr>
      <w:sz w:val="16"/>
      <w:szCs w:val="16"/>
    </w:rPr>
  </w:style>
  <w:style w:type="paragraph" w:customStyle="1" w:styleId="FooterLeft">
    <w:name w:val="Footer Left"/>
    <w:basedOn w:val="Footer"/>
    <w:rsid w:val="006F22E9"/>
    <w:pPr>
      <w:framePr w:w="4536" w:h="709" w:hRule="exact" w:wrap="around" w:vAnchor="page" w:hAnchor="margin" w:yAlign="bottom" w:anchorLock="1"/>
      <w:shd w:val="clear" w:color="auto" w:fill="FFFFFF" w:themeFill="background1"/>
    </w:pPr>
  </w:style>
  <w:style w:type="paragraph" w:customStyle="1" w:styleId="Footerright">
    <w:name w:val="Footer right"/>
    <w:basedOn w:val="FooterLeft"/>
    <w:rsid w:val="001E3681"/>
    <w:pPr>
      <w:framePr w:wrap="around" w:xAlign="right"/>
      <w:jc w:val="right"/>
    </w:pPr>
    <w:rPr>
      <w:color w:val="6D6868" w:themeColor="accent2"/>
    </w:rPr>
  </w:style>
  <w:style w:type="table" w:customStyle="1" w:styleId="FooterTable">
    <w:name w:val="Footer Table"/>
    <w:basedOn w:val="TableNormal"/>
    <w:uiPriority w:val="99"/>
    <w:rsid w:val="006F22E9"/>
    <w:pPr>
      <w:spacing w:after="0" w:line="240" w:lineRule="auto"/>
      <w:jc w:val="right"/>
    </w:pPr>
    <w:tblPr>
      <w:tblCellMar>
        <w:left w:w="0" w:type="dxa"/>
        <w:right w:w="0" w:type="dxa"/>
      </w:tblCellMar>
    </w:tblPr>
    <w:tcPr>
      <w:vAlign w:val="bottom"/>
    </w:tcPr>
    <w:tblStylePr w:type="firstCol">
      <w:pPr>
        <w:jc w:val="left"/>
      </w:pPr>
    </w:tblStylePr>
  </w:style>
  <w:style w:type="paragraph" w:customStyle="1" w:styleId="Introduction">
    <w:name w:val="Introduction"/>
    <w:basedOn w:val="Normal"/>
    <w:next w:val="Normal"/>
    <w:link w:val="IntroductionChar"/>
    <w:uiPriority w:val="2"/>
    <w:qFormat/>
    <w:rsid w:val="001E3681"/>
    <w:pPr>
      <w:spacing w:after="360"/>
    </w:pPr>
    <w:rPr>
      <w:color w:val="2C4BA0" w:themeColor="accent1"/>
      <w:sz w:val="24"/>
      <w:szCs w:val="24"/>
    </w:rPr>
  </w:style>
  <w:style w:type="character" w:customStyle="1" w:styleId="FooterChapterTitle">
    <w:name w:val="Footer Chapter Title"/>
    <w:basedOn w:val="DefaultParagraphFont"/>
    <w:uiPriority w:val="1"/>
    <w:rsid w:val="006F22E9"/>
  </w:style>
  <w:style w:type="character" w:customStyle="1" w:styleId="IntroductionChar">
    <w:name w:val="Introduction Char"/>
    <w:basedOn w:val="DefaultParagraphFont"/>
    <w:link w:val="Introduction"/>
    <w:uiPriority w:val="2"/>
    <w:rsid w:val="001E3681"/>
    <w:rPr>
      <w:color w:val="2C4BA0" w:themeColor="accent1"/>
      <w:sz w:val="24"/>
      <w:szCs w:val="24"/>
    </w:rPr>
  </w:style>
  <w:style w:type="character" w:customStyle="1" w:styleId="Footer-DateVersion">
    <w:name w:val="Footer - Date &amp; Version"/>
    <w:basedOn w:val="DefaultParagraphFont"/>
    <w:uiPriority w:val="1"/>
    <w:rsid w:val="006F22E9"/>
  </w:style>
  <w:style w:type="paragraph" w:customStyle="1" w:styleId="CaptionImages">
    <w:name w:val="Caption Images"/>
    <w:basedOn w:val="Caption"/>
    <w:next w:val="Normal"/>
    <w:link w:val="CaptionImagesChar"/>
    <w:rsid w:val="005E29B4"/>
    <w:pPr>
      <w:numPr>
        <w:ilvl w:val="3"/>
        <w:numId w:val="12"/>
      </w:numPr>
    </w:pPr>
  </w:style>
  <w:style w:type="character" w:customStyle="1" w:styleId="CaptionChar">
    <w:name w:val="Caption Char"/>
    <w:aliases w:val="TABLE Char,Caption Char Char Char Char Char,Caption1 Char Char Char,Caption Char Char Char,Caption Char Char Char Char Char Char Char Char,Caption Char1 Char,Caption Char Char Char Char1 Char,Caption1 Char Char1 Char,Table Caption Char"/>
    <w:basedOn w:val="DefaultParagraphFont"/>
    <w:link w:val="Caption"/>
    <w:uiPriority w:val="35"/>
    <w:rsid w:val="001E3681"/>
    <w:rPr>
      <w:sz w:val="16"/>
    </w:rPr>
  </w:style>
  <w:style w:type="character" w:customStyle="1" w:styleId="CaptionImagesChar">
    <w:name w:val="Caption Images Char"/>
    <w:basedOn w:val="CaptionChar"/>
    <w:link w:val="CaptionImages"/>
    <w:rsid w:val="0034213F"/>
    <w:rPr>
      <w:sz w:val="16"/>
    </w:rPr>
  </w:style>
  <w:style w:type="paragraph" w:customStyle="1" w:styleId="CaptionTables">
    <w:name w:val="Caption Tables"/>
    <w:basedOn w:val="Caption"/>
    <w:next w:val="Normal"/>
    <w:link w:val="CaptionTablesChar"/>
    <w:rsid w:val="008A6FBC"/>
    <w:pPr>
      <w:numPr>
        <w:ilvl w:val="4"/>
        <w:numId w:val="12"/>
      </w:numPr>
      <w:spacing w:after="180"/>
    </w:pPr>
  </w:style>
  <w:style w:type="paragraph" w:customStyle="1" w:styleId="TableHeading">
    <w:name w:val="Table Heading"/>
    <w:basedOn w:val="TableText"/>
    <w:link w:val="TableHeadingChar"/>
    <w:uiPriority w:val="6"/>
    <w:qFormat/>
    <w:rsid w:val="00C06BBC"/>
    <w:pPr>
      <w:spacing w:line="240" w:lineRule="auto"/>
    </w:pPr>
    <w:rPr>
      <w:b/>
      <w:caps/>
      <w:color w:val="FFFFFF" w:themeColor="background1"/>
    </w:rPr>
  </w:style>
  <w:style w:type="character" w:customStyle="1" w:styleId="CaptionTablesChar">
    <w:name w:val="Caption Tables Char"/>
    <w:basedOn w:val="CaptionChar"/>
    <w:link w:val="CaptionTables"/>
    <w:rsid w:val="008A6FBC"/>
    <w:rPr>
      <w:sz w:val="16"/>
    </w:rPr>
  </w:style>
  <w:style w:type="character" w:customStyle="1" w:styleId="TableHeadingChar">
    <w:name w:val="Table Heading Char"/>
    <w:basedOn w:val="TableTextChar"/>
    <w:link w:val="TableHeading"/>
    <w:uiPriority w:val="6"/>
    <w:rsid w:val="007E5011"/>
    <w:rPr>
      <w:b/>
      <w:caps/>
      <w:color w:val="FFFFFF" w:themeColor="background1"/>
      <w:sz w:val="16"/>
      <w:szCs w:val="16"/>
    </w:rPr>
  </w:style>
  <w:style w:type="paragraph" w:customStyle="1" w:styleId="AppendixHeading">
    <w:name w:val="Appendix Heading"/>
    <w:basedOn w:val="Normal"/>
    <w:link w:val="AppendixHeadingChar"/>
    <w:rsid w:val="000E21B9"/>
    <w:pPr>
      <w:framePr w:w="5670" w:wrap="notBeside" w:vAnchor="page" w:hAnchor="page" w:x="1419" w:y="937" w:anchorLock="1"/>
      <w:tabs>
        <w:tab w:val="left" w:pos="5387"/>
      </w:tabs>
      <w:spacing w:after="160" w:line="324" w:lineRule="auto"/>
      <w:ind w:right="113"/>
      <w:outlineLvl w:val="0"/>
    </w:pPr>
    <w:rPr>
      <w:b/>
      <w:bCs/>
      <w:color w:val="FFFFFF" w:themeColor="background1"/>
      <w:sz w:val="32"/>
      <w:szCs w:val="32"/>
    </w:rPr>
  </w:style>
  <w:style w:type="numbering" w:customStyle="1" w:styleId="AppendixHeadings">
    <w:name w:val="Appendix Headings"/>
    <w:uiPriority w:val="99"/>
    <w:rsid w:val="00F8069F"/>
    <w:pPr>
      <w:numPr>
        <w:numId w:val="7"/>
      </w:numPr>
    </w:pPr>
  </w:style>
  <w:style w:type="character" w:customStyle="1" w:styleId="AppendixHeadingChar">
    <w:name w:val="Appendix Heading Char"/>
    <w:basedOn w:val="DefaultParagraphFont"/>
    <w:link w:val="AppendixHeading"/>
    <w:rsid w:val="000E21B9"/>
    <w:rPr>
      <w:b/>
      <w:bCs/>
      <w:color w:val="FFFFFF" w:themeColor="background1"/>
      <w:sz w:val="32"/>
      <w:szCs w:val="32"/>
    </w:rPr>
  </w:style>
  <w:style w:type="paragraph" w:styleId="TOC1">
    <w:name w:val="toc 1"/>
    <w:basedOn w:val="Normal"/>
    <w:next w:val="Normal"/>
    <w:autoRedefine/>
    <w:uiPriority w:val="39"/>
    <w:unhideWhenUsed/>
    <w:rsid w:val="00AB17B4"/>
    <w:pPr>
      <w:pBdr>
        <w:bottom w:val="single" w:sz="8" w:space="1" w:color="FFFFFF" w:themeColor="background1"/>
        <w:between w:val="single" w:sz="8" w:space="1" w:color="FFFFFF" w:themeColor="background1"/>
      </w:pBdr>
      <w:tabs>
        <w:tab w:val="left" w:pos="567"/>
        <w:tab w:val="right" w:pos="9072"/>
      </w:tabs>
      <w:spacing w:before="120" w:after="40" w:line="300" w:lineRule="auto"/>
    </w:pPr>
    <w:rPr>
      <w:b/>
      <w:color w:val="FFFFFF" w:themeColor="background1"/>
    </w:rPr>
  </w:style>
  <w:style w:type="paragraph" w:customStyle="1" w:styleId="Call-outboxHeading">
    <w:name w:val="Call-out box Heading"/>
    <w:basedOn w:val="Call-outboxHeadingwithicon"/>
    <w:rsid w:val="007F777E"/>
    <w:pPr>
      <w:framePr w:wrap="around"/>
      <w:numPr>
        <w:numId w:val="0"/>
      </w:numPr>
      <w:ind w:left="113"/>
    </w:pPr>
  </w:style>
  <w:style w:type="character" w:styleId="CommentReference">
    <w:name w:val="annotation reference"/>
    <w:basedOn w:val="DefaultParagraphFont"/>
    <w:uiPriority w:val="99"/>
    <w:unhideWhenUsed/>
    <w:rsid w:val="00A14C55"/>
    <w:rPr>
      <w:sz w:val="16"/>
      <w:szCs w:val="16"/>
    </w:rPr>
  </w:style>
  <w:style w:type="paragraph" w:styleId="CommentText">
    <w:name w:val="annotation text"/>
    <w:basedOn w:val="Normal"/>
    <w:link w:val="CommentTextChar"/>
    <w:uiPriority w:val="99"/>
    <w:unhideWhenUsed/>
    <w:rsid w:val="00A14C55"/>
    <w:pPr>
      <w:spacing w:line="240" w:lineRule="auto"/>
    </w:pPr>
    <w:rPr>
      <w:sz w:val="20"/>
      <w:szCs w:val="20"/>
    </w:rPr>
  </w:style>
  <w:style w:type="character" w:customStyle="1" w:styleId="CommentTextChar">
    <w:name w:val="Comment Text Char"/>
    <w:basedOn w:val="DefaultParagraphFont"/>
    <w:link w:val="CommentText"/>
    <w:uiPriority w:val="99"/>
    <w:rsid w:val="00A14C55"/>
    <w:rPr>
      <w:sz w:val="20"/>
      <w:szCs w:val="20"/>
    </w:rPr>
  </w:style>
  <w:style w:type="paragraph" w:styleId="CommentSubject">
    <w:name w:val="annotation subject"/>
    <w:basedOn w:val="CommentText"/>
    <w:next w:val="CommentText"/>
    <w:link w:val="CommentSubjectChar"/>
    <w:uiPriority w:val="99"/>
    <w:semiHidden/>
    <w:unhideWhenUsed/>
    <w:rsid w:val="00A14C55"/>
    <w:rPr>
      <w:b/>
      <w:bCs/>
    </w:rPr>
  </w:style>
  <w:style w:type="character" w:customStyle="1" w:styleId="CommentSubjectChar">
    <w:name w:val="Comment Subject Char"/>
    <w:basedOn w:val="CommentTextChar"/>
    <w:link w:val="CommentSubject"/>
    <w:uiPriority w:val="99"/>
    <w:semiHidden/>
    <w:rsid w:val="00A14C55"/>
    <w:rPr>
      <w:b/>
      <w:bCs/>
      <w:sz w:val="20"/>
      <w:szCs w:val="20"/>
    </w:rPr>
  </w:style>
  <w:style w:type="character" w:styleId="UnresolvedMention">
    <w:name w:val="Unresolved Mention"/>
    <w:basedOn w:val="DefaultParagraphFont"/>
    <w:uiPriority w:val="99"/>
    <w:semiHidden/>
    <w:unhideWhenUsed/>
    <w:rsid w:val="00C51E40"/>
    <w:rPr>
      <w:color w:val="605E5C"/>
      <w:shd w:val="clear" w:color="auto" w:fill="E1DFDD"/>
    </w:rPr>
  </w:style>
  <w:style w:type="character" w:customStyle="1" w:styleId="Heading7Char">
    <w:name w:val="Heading 7 Char"/>
    <w:basedOn w:val="DefaultParagraphFont"/>
    <w:link w:val="Heading7"/>
    <w:uiPriority w:val="9"/>
    <w:semiHidden/>
    <w:rsid w:val="00133B8B"/>
    <w:rPr>
      <w:rFonts w:asciiTheme="majorHAnsi" w:eastAsiaTheme="majorEastAsia" w:hAnsiTheme="majorHAnsi" w:cstheme="majorBidi"/>
      <w:i/>
      <w:iCs/>
      <w:color w:val="16254F" w:themeColor="accent1" w:themeShade="7F"/>
      <w:sz w:val="18"/>
    </w:rPr>
  </w:style>
  <w:style w:type="character" w:customStyle="1" w:styleId="Heading8Char">
    <w:name w:val="Heading 8 Char"/>
    <w:basedOn w:val="DefaultParagraphFont"/>
    <w:link w:val="Heading8"/>
    <w:uiPriority w:val="9"/>
    <w:semiHidden/>
    <w:rsid w:val="00133B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3B8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215375"/>
    <w:pPr>
      <w:spacing w:after="0" w:line="240" w:lineRule="auto"/>
    </w:pPr>
    <w:rPr>
      <w:sz w:val="18"/>
    </w:rPr>
  </w:style>
  <w:style w:type="paragraph" w:customStyle="1" w:styleId="Pull-outQuoteHeading">
    <w:name w:val="Pull-out Quote Heading"/>
    <w:basedOn w:val="Normal"/>
    <w:next w:val="Normal"/>
    <w:link w:val="Pull-outQuoteHeadingChar"/>
    <w:qFormat/>
    <w:rsid w:val="00146358"/>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b/>
      <w:color w:val="FFFFFF" w:themeColor="background1"/>
    </w:rPr>
  </w:style>
  <w:style w:type="character" w:customStyle="1" w:styleId="Pull-outQuoteHeadingChar">
    <w:name w:val="Pull-out Quote Heading Char"/>
    <w:basedOn w:val="DefaultParagraphFont"/>
    <w:link w:val="Pull-outQuoteHeading"/>
    <w:rsid w:val="00146358"/>
    <w:rPr>
      <w:b/>
      <w:color w:val="FFFFFF" w:themeColor="background1"/>
      <w:sz w:val="18"/>
      <w:shd w:val="clear" w:color="auto" w:fill="000000" w:themeFill="text2"/>
    </w:rPr>
  </w:style>
  <w:style w:type="paragraph" w:customStyle="1" w:styleId="ContentBulletsNumber">
    <w:name w:val="Content Bullets Number"/>
    <w:basedOn w:val="TableText"/>
    <w:semiHidden/>
    <w:qFormat/>
    <w:rsid w:val="006A1B3F"/>
    <w:pPr>
      <w:numPr>
        <w:numId w:val="9"/>
      </w:numPr>
      <w:spacing w:before="240" w:after="120" w:line="240" w:lineRule="atLeast"/>
    </w:pPr>
    <w:rPr>
      <w:rFonts w:ascii="Jacobs Chronos" w:eastAsiaTheme="minorEastAsia" w:hAnsi="Jacobs Chronos" w:cs="Jacobs Chronos"/>
      <w:sz w:val="20"/>
      <w:szCs w:val="24"/>
      <w:lang w:val="en-GB"/>
    </w:rPr>
  </w:style>
  <w:style w:type="paragraph" w:customStyle="1" w:styleId="Tablesmalltext">
    <w:name w:val="Table small text"/>
    <w:basedOn w:val="Normal"/>
    <w:link w:val="TablesmalltextChar"/>
    <w:uiPriority w:val="15"/>
    <w:qFormat/>
    <w:rsid w:val="0029092F"/>
    <w:pPr>
      <w:spacing w:before="40" w:after="40" w:line="240" w:lineRule="atLeast"/>
    </w:pPr>
    <w:rPr>
      <w:rFonts w:ascii="Jacobs Chronos" w:eastAsiaTheme="minorEastAsia" w:hAnsi="Jacobs Chronos" w:cs="Jacobs Chronos"/>
      <w:sz w:val="16"/>
      <w:szCs w:val="24"/>
      <w:lang w:val="en-GB"/>
    </w:rPr>
  </w:style>
  <w:style w:type="paragraph" w:customStyle="1" w:styleId="Tablesmallheading">
    <w:name w:val="Table small heading"/>
    <w:basedOn w:val="TableHeading"/>
    <w:uiPriority w:val="15"/>
    <w:qFormat/>
    <w:rsid w:val="006A1B3F"/>
    <w:pPr>
      <w:keepNext/>
      <w:spacing w:before="60" w:after="60" w:line="240" w:lineRule="atLeast"/>
    </w:pPr>
    <w:rPr>
      <w:rFonts w:ascii="Jacobs Chronos" w:eastAsiaTheme="minorEastAsia" w:hAnsi="Jacobs Chronos" w:cs="Jacobs Chronos"/>
      <w:caps w:val="0"/>
      <w:color w:val="auto"/>
      <w:sz w:val="20"/>
      <w:szCs w:val="24"/>
      <w:lang w:val="en-GB"/>
    </w:rPr>
  </w:style>
  <w:style w:type="character" w:customStyle="1" w:styleId="TablesmalltextChar">
    <w:name w:val="Table small text Char"/>
    <w:link w:val="Tablesmalltext"/>
    <w:uiPriority w:val="15"/>
    <w:rsid w:val="0029092F"/>
    <w:rPr>
      <w:rFonts w:ascii="Jacobs Chronos" w:eastAsiaTheme="minorEastAsia" w:hAnsi="Jacobs Chronos" w:cs="Jacobs Chronos"/>
      <w:sz w:val="16"/>
      <w:szCs w:val="24"/>
      <w:lang w:val="en-GB"/>
    </w:rPr>
  </w:style>
  <w:style w:type="paragraph" w:customStyle="1" w:styleId="pf0">
    <w:name w:val="pf0"/>
    <w:basedOn w:val="Normal"/>
    <w:rsid w:val="00CC06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C06AA"/>
    <w:rPr>
      <w:rFonts w:ascii="Segoe UI" w:hAnsi="Segoe UI" w:cs="Segoe UI" w:hint="default"/>
      <w:sz w:val="18"/>
      <w:szCs w:val="18"/>
    </w:rPr>
  </w:style>
  <w:style w:type="paragraph" w:styleId="EndnoteText">
    <w:name w:val="endnote text"/>
    <w:basedOn w:val="Normal"/>
    <w:link w:val="EndnoteTextChar"/>
    <w:uiPriority w:val="99"/>
    <w:semiHidden/>
    <w:unhideWhenUsed/>
    <w:rsid w:val="00B62D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2DF3"/>
    <w:rPr>
      <w:sz w:val="20"/>
      <w:szCs w:val="20"/>
    </w:rPr>
  </w:style>
  <w:style w:type="character" w:styleId="EndnoteReference">
    <w:name w:val="endnote reference"/>
    <w:basedOn w:val="DefaultParagraphFont"/>
    <w:uiPriority w:val="99"/>
    <w:semiHidden/>
    <w:unhideWhenUsed/>
    <w:rsid w:val="00B62DF3"/>
    <w:rPr>
      <w:vertAlign w:val="superscript"/>
    </w:rPr>
  </w:style>
  <w:style w:type="paragraph" w:styleId="FootnoteText">
    <w:name w:val="footnote text"/>
    <w:basedOn w:val="Normal"/>
    <w:link w:val="FootnoteTextChar"/>
    <w:uiPriority w:val="99"/>
    <w:semiHidden/>
    <w:unhideWhenUsed/>
    <w:rsid w:val="00B62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DF3"/>
    <w:rPr>
      <w:sz w:val="20"/>
      <w:szCs w:val="20"/>
    </w:rPr>
  </w:style>
  <w:style w:type="character" w:styleId="FootnoteReference">
    <w:name w:val="footnote reference"/>
    <w:basedOn w:val="DefaultParagraphFont"/>
    <w:uiPriority w:val="99"/>
    <w:semiHidden/>
    <w:unhideWhenUsed/>
    <w:rsid w:val="00B62DF3"/>
    <w:rPr>
      <w:vertAlign w:val="superscript"/>
    </w:rPr>
  </w:style>
  <w:style w:type="paragraph" w:customStyle="1" w:styleId="Tablenumbers2">
    <w:name w:val="Table numbers 2"/>
    <w:basedOn w:val="List"/>
    <w:qFormat/>
    <w:rsid w:val="00E66862"/>
    <w:pPr>
      <w:numPr>
        <w:numId w:val="19"/>
      </w:numPr>
      <w:spacing w:before="60" w:after="60" w:line="240" w:lineRule="auto"/>
      <w:ind w:left="568" w:hanging="284"/>
      <w:contextualSpacing w:val="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39519">
      <w:bodyDiv w:val="1"/>
      <w:marLeft w:val="0"/>
      <w:marRight w:val="0"/>
      <w:marTop w:val="0"/>
      <w:marBottom w:val="0"/>
      <w:divBdr>
        <w:top w:val="none" w:sz="0" w:space="0" w:color="auto"/>
        <w:left w:val="none" w:sz="0" w:space="0" w:color="auto"/>
        <w:bottom w:val="none" w:sz="0" w:space="0" w:color="auto"/>
        <w:right w:val="none" w:sz="0" w:space="0" w:color="auto"/>
      </w:divBdr>
    </w:div>
    <w:div w:id="827401036">
      <w:bodyDiv w:val="1"/>
      <w:marLeft w:val="0"/>
      <w:marRight w:val="0"/>
      <w:marTop w:val="0"/>
      <w:marBottom w:val="0"/>
      <w:divBdr>
        <w:top w:val="none" w:sz="0" w:space="0" w:color="auto"/>
        <w:left w:val="none" w:sz="0" w:space="0" w:color="auto"/>
        <w:bottom w:val="none" w:sz="0" w:space="0" w:color="auto"/>
        <w:right w:val="none" w:sz="0" w:space="0" w:color="auto"/>
      </w:divBdr>
    </w:div>
    <w:div w:id="842549576">
      <w:bodyDiv w:val="1"/>
      <w:marLeft w:val="0"/>
      <w:marRight w:val="0"/>
      <w:marTop w:val="0"/>
      <w:marBottom w:val="0"/>
      <w:divBdr>
        <w:top w:val="none" w:sz="0" w:space="0" w:color="auto"/>
        <w:left w:val="none" w:sz="0" w:space="0" w:color="auto"/>
        <w:bottom w:val="none" w:sz="0" w:space="0" w:color="auto"/>
        <w:right w:val="none" w:sz="0" w:space="0" w:color="auto"/>
      </w:divBdr>
    </w:div>
    <w:div w:id="1471437374">
      <w:bodyDiv w:val="1"/>
      <w:marLeft w:val="0"/>
      <w:marRight w:val="0"/>
      <w:marTop w:val="0"/>
      <w:marBottom w:val="0"/>
      <w:divBdr>
        <w:top w:val="none" w:sz="0" w:space="0" w:color="auto"/>
        <w:left w:val="none" w:sz="0" w:space="0" w:color="auto"/>
        <w:bottom w:val="none" w:sz="0" w:space="0" w:color="auto"/>
        <w:right w:val="none" w:sz="0" w:space="0" w:color="auto"/>
      </w:divBdr>
    </w:div>
    <w:div w:id="1551302804">
      <w:bodyDiv w:val="1"/>
      <w:marLeft w:val="0"/>
      <w:marRight w:val="0"/>
      <w:marTop w:val="0"/>
      <w:marBottom w:val="0"/>
      <w:divBdr>
        <w:top w:val="none" w:sz="0" w:space="0" w:color="auto"/>
        <w:left w:val="none" w:sz="0" w:space="0" w:color="auto"/>
        <w:bottom w:val="none" w:sz="0" w:space="0" w:color="auto"/>
        <w:right w:val="none" w:sz="0" w:space="0" w:color="auto"/>
      </w:divBdr>
    </w:div>
    <w:div w:id="1816338956">
      <w:bodyDiv w:val="1"/>
      <w:marLeft w:val="0"/>
      <w:marRight w:val="0"/>
      <w:marTop w:val="0"/>
      <w:marBottom w:val="0"/>
      <w:divBdr>
        <w:top w:val="none" w:sz="0" w:space="0" w:color="auto"/>
        <w:left w:val="none" w:sz="0" w:space="0" w:color="auto"/>
        <w:bottom w:val="none" w:sz="0" w:space="0" w:color="auto"/>
        <w:right w:val="none" w:sz="0" w:space="0" w:color="auto"/>
      </w:divBdr>
    </w:div>
    <w:div w:id="20817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chart" Target="charts/chart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ink\Downloads\1-001-ANS-0000-EES-TE-0002_5.0.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66B7-45AD-AF39-7EC46BF7024F}"/>
              </c:ext>
            </c:extLst>
          </c:dPt>
          <c:dPt>
            <c:idx val="1"/>
            <c:bubble3D val="0"/>
            <c:spPr>
              <a:solidFill>
                <a:srgbClr val="BBCE08"/>
              </a:solidFill>
              <a:ln w="19050">
                <a:solidFill>
                  <a:schemeClr val="lt1"/>
                </a:solidFill>
              </a:ln>
              <a:effectLst/>
            </c:spPr>
            <c:extLst>
              <c:ext xmlns:c16="http://schemas.microsoft.com/office/drawing/2014/chart" uri="{C3380CC4-5D6E-409C-BE32-E72D297353CC}">
                <c16:uniqueId val="{00000004-66B7-45AD-AF39-7EC46BF7024F}"/>
              </c:ext>
            </c:extLst>
          </c:dPt>
          <c:dPt>
            <c:idx val="2"/>
            <c:bubble3D val="0"/>
            <c:spPr>
              <a:solidFill>
                <a:srgbClr val="FA8606"/>
              </a:solidFill>
              <a:ln w="19050">
                <a:solidFill>
                  <a:schemeClr val="lt1"/>
                </a:solidFill>
              </a:ln>
              <a:effectLst/>
            </c:spPr>
            <c:extLst>
              <c:ext xmlns:c16="http://schemas.microsoft.com/office/drawing/2014/chart" uri="{C3380CC4-5D6E-409C-BE32-E72D297353CC}">
                <c16:uniqueId val="{00000002-66B7-45AD-AF39-7EC46BF7024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66B7-45AD-AF39-7EC46BF7024F}"/>
              </c:ext>
            </c:extLst>
          </c:dPt>
          <c:dPt>
            <c:idx val="4"/>
            <c:bubble3D val="0"/>
            <c:spPr>
              <a:solidFill>
                <a:srgbClr val="00B0F0"/>
              </a:solidFill>
              <a:ln w="19050">
                <a:solidFill>
                  <a:schemeClr val="lt1"/>
                </a:solidFill>
              </a:ln>
              <a:effectLst/>
            </c:spPr>
            <c:extLst>
              <c:ext xmlns:c16="http://schemas.microsoft.com/office/drawing/2014/chart" uri="{C3380CC4-5D6E-409C-BE32-E72D297353CC}">
                <c16:uniqueId val="{00000005-66B7-45AD-AF39-7EC46BF7024F}"/>
              </c:ext>
            </c:extLst>
          </c:dPt>
          <c:dPt>
            <c:idx val="5"/>
            <c:bubble3D val="0"/>
            <c:spPr>
              <a:solidFill>
                <a:srgbClr val="C00000"/>
              </a:solidFill>
              <a:ln w="19050">
                <a:solidFill>
                  <a:schemeClr val="lt1"/>
                </a:solidFill>
              </a:ln>
              <a:effectLst/>
            </c:spPr>
            <c:extLst>
              <c:ext xmlns:c16="http://schemas.microsoft.com/office/drawing/2014/chart" uri="{C3380CC4-5D6E-409C-BE32-E72D297353CC}">
                <c16:uniqueId val="{00000006-66B7-45AD-AF39-7EC46BF7024F}"/>
              </c:ext>
            </c:extLst>
          </c:dPt>
          <c:dLbls>
            <c:dLbl>
              <c:idx val="0"/>
              <c:layout>
                <c:manualLayout>
                  <c:x val="-1.4371363759355183E-2"/>
                  <c:y val="-3.0361379500051577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B7-45AD-AF39-7EC46BF7024F}"/>
                </c:ext>
              </c:extLst>
            </c:dLbl>
            <c:dLbl>
              <c:idx val="2"/>
              <c:layout>
                <c:manualLayout>
                  <c:x val="-2.4587993750442485E-3"/>
                  <c:y val="3.196506550218340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B7-45AD-AF39-7EC46BF7024F}"/>
                </c:ext>
              </c:extLst>
            </c:dLbl>
            <c:dLbl>
              <c:idx val="3"/>
              <c:layout>
                <c:manualLayout>
                  <c:x val="1.9988152522601343E-2"/>
                  <c:y val="-3.893888263967003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B7-45AD-AF39-7EC46BF7024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Fuel Consumption</c:v>
                </c:pt>
                <c:pt idx="1">
                  <c:v>Haulage of material, waste and earth</c:v>
                </c:pt>
                <c:pt idx="2">
                  <c:v>Vegetation clearing</c:v>
                </c:pt>
                <c:pt idx="3">
                  <c:v>Construction Materials (embedded emissions)</c:v>
                </c:pt>
                <c:pt idx="4">
                  <c:v>Worker movements</c:v>
                </c:pt>
                <c:pt idx="5">
                  <c:v>Landfilled waste</c:v>
                </c:pt>
              </c:strCache>
            </c:strRef>
          </c:cat>
          <c:val>
            <c:numRef>
              <c:f>Sheet1!$B$2:$B$7</c:f>
              <c:numCache>
                <c:formatCode>0%</c:formatCode>
                <c:ptCount val="6"/>
                <c:pt idx="0">
                  <c:v>0.15</c:v>
                </c:pt>
                <c:pt idx="1">
                  <c:v>0.01</c:v>
                </c:pt>
                <c:pt idx="2">
                  <c:v>0.11</c:v>
                </c:pt>
                <c:pt idx="3">
                  <c:v>0.72</c:v>
                </c:pt>
                <c:pt idx="4">
                  <c:v>0.01</c:v>
                </c:pt>
                <c:pt idx="5" formatCode="General">
                  <c:v>0</c:v>
                </c:pt>
              </c:numCache>
            </c:numRef>
          </c:val>
          <c:extLst>
            <c:ext xmlns:c16="http://schemas.microsoft.com/office/drawing/2014/chart" uri="{C3380CC4-5D6E-409C-BE32-E72D297353CC}">
              <c16:uniqueId val="{00000000-66B7-45AD-AF39-7EC46BF7024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98CCFC1C084B27A0835ABE43BA481F"/>
        <w:category>
          <w:name w:val="General"/>
          <w:gallery w:val="placeholder"/>
        </w:category>
        <w:types>
          <w:type w:val="bbPlcHdr"/>
        </w:types>
        <w:behaviors>
          <w:behavior w:val="content"/>
        </w:behaviors>
        <w:guid w:val="{DDF8465E-9C30-428B-A0EC-7CBF7BD5E0DC}"/>
      </w:docPartPr>
      <w:docPartBody>
        <w:p w:rsidR="00E20B2B" w:rsidRDefault="00176649">
          <w:pPr>
            <w:pStyle w:val="3098CCFC1C084B27A0835ABE43BA481F"/>
          </w:pPr>
          <w:r w:rsidRPr="00977C89">
            <w:rPr>
              <w:rStyle w:val="PlaceholderText"/>
            </w:rPr>
            <w:t>Click or tap here to enter text.</w:t>
          </w:r>
        </w:p>
      </w:docPartBody>
    </w:docPart>
    <w:docPart>
      <w:docPartPr>
        <w:name w:val="3E70840594124E1BA78B4FC551C0FAE9"/>
        <w:category>
          <w:name w:val="General"/>
          <w:gallery w:val="placeholder"/>
        </w:category>
        <w:types>
          <w:type w:val="bbPlcHdr"/>
        </w:types>
        <w:behaviors>
          <w:behavior w:val="content"/>
        </w:behaviors>
        <w:guid w:val="{D6DAA158-CBF5-4B16-A983-0EAD6CBDEF9D}"/>
      </w:docPartPr>
      <w:docPartBody>
        <w:p w:rsidR="00E20B2B" w:rsidRDefault="00176649">
          <w:pPr>
            <w:pStyle w:val="3E70840594124E1BA78B4FC551C0FAE9"/>
          </w:pPr>
          <w:r w:rsidRPr="00724C52">
            <w:rPr>
              <w:highlight w:val="lightGray"/>
            </w:rPr>
            <w:t>[Click to add text]</w:t>
          </w:r>
        </w:p>
      </w:docPartBody>
    </w:docPart>
    <w:docPart>
      <w:docPartPr>
        <w:name w:val="A9360176820C4201B243F3572091DEB7"/>
        <w:category>
          <w:name w:val="General"/>
          <w:gallery w:val="placeholder"/>
        </w:category>
        <w:types>
          <w:type w:val="bbPlcHdr"/>
        </w:types>
        <w:behaviors>
          <w:behavior w:val="content"/>
        </w:behaviors>
        <w:guid w:val="{FB1EBBEA-CC06-47AB-BCFE-4661A4918B97}"/>
      </w:docPartPr>
      <w:docPartBody>
        <w:p w:rsidR="00E20B2B" w:rsidRDefault="00176649">
          <w:pPr>
            <w:pStyle w:val="A9360176820C4201B243F3572091DEB7"/>
          </w:pPr>
          <w:r w:rsidRPr="000E21B9">
            <w:rPr>
              <w:highlight w:val="darkGray"/>
            </w:rPr>
            <w:t>[Appendix Heading]</w:t>
          </w:r>
        </w:p>
      </w:docPartBody>
    </w:docPart>
    <w:docPart>
      <w:docPartPr>
        <w:name w:val="FFC4A7BDBA77435EB3CB2E799667C79A"/>
        <w:category>
          <w:name w:val="General"/>
          <w:gallery w:val="placeholder"/>
        </w:category>
        <w:types>
          <w:type w:val="bbPlcHdr"/>
        </w:types>
        <w:behaviors>
          <w:behavior w:val="content"/>
        </w:behaviors>
        <w:guid w:val="{24D15ED5-39B8-4334-9313-E387B8AAA43E}"/>
      </w:docPartPr>
      <w:docPartBody>
        <w:p w:rsidR="00E20B2B" w:rsidRDefault="00176649">
          <w:pPr>
            <w:pStyle w:val="FFC4A7BDBA77435EB3CB2E799667C79A"/>
          </w:pPr>
          <w:r>
            <w:rPr>
              <w:rStyle w:val="PlaceholderText"/>
            </w:rPr>
            <w:t>[Date] and</w:t>
          </w:r>
        </w:p>
      </w:docPartBody>
    </w:docPart>
    <w:docPart>
      <w:docPartPr>
        <w:name w:val="1828A7126B6A4AE3B7BFBBE87B33D972"/>
        <w:category>
          <w:name w:val="General"/>
          <w:gallery w:val="placeholder"/>
        </w:category>
        <w:types>
          <w:type w:val="bbPlcHdr"/>
        </w:types>
        <w:behaviors>
          <w:behavior w:val="content"/>
        </w:behaviors>
        <w:guid w:val="{A68CFBF3-35CB-4323-A974-9A69CD58BD1B}"/>
      </w:docPartPr>
      <w:docPartBody>
        <w:p w:rsidR="00E20B2B" w:rsidRDefault="00176649">
          <w:pPr>
            <w:pStyle w:val="1828A7126B6A4AE3B7BFBBE87B33D972"/>
          </w:pPr>
          <w:r>
            <w:rPr>
              <w:rStyle w:val="PlaceholderText"/>
            </w:rPr>
            <w:t>[00] linked to document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Jacobs Chronos">
    <w:altName w:val="Calibri"/>
    <w:charset w:val="00"/>
    <w:family w:val="swiss"/>
    <w:pitch w:val="variable"/>
    <w:sig w:usb0="A00000EF" w:usb1="0000E0EB" w:usb2="00000008"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9C"/>
    <w:rsid w:val="000464E2"/>
    <w:rsid w:val="000534BA"/>
    <w:rsid w:val="00055D92"/>
    <w:rsid w:val="00061D13"/>
    <w:rsid w:val="00075CB7"/>
    <w:rsid w:val="000D5684"/>
    <w:rsid w:val="000E5666"/>
    <w:rsid w:val="000F124A"/>
    <w:rsid w:val="000F48C1"/>
    <w:rsid w:val="001109C5"/>
    <w:rsid w:val="001159D8"/>
    <w:rsid w:val="001673B1"/>
    <w:rsid w:val="001755FE"/>
    <w:rsid w:val="00176649"/>
    <w:rsid w:val="001908AC"/>
    <w:rsid w:val="001D0D78"/>
    <w:rsid w:val="001F7140"/>
    <w:rsid w:val="001F79C1"/>
    <w:rsid w:val="001F7F72"/>
    <w:rsid w:val="0020424D"/>
    <w:rsid w:val="002308F3"/>
    <w:rsid w:val="00265769"/>
    <w:rsid w:val="002B1474"/>
    <w:rsid w:val="002C27DD"/>
    <w:rsid w:val="002D2B1E"/>
    <w:rsid w:val="002D3FEB"/>
    <w:rsid w:val="002D667F"/>
    <w:rsid w:val="002E10E1"/>
    <w:rsid w:val="002F0050"/>
    <w:rsid w:val="00307255"/>
    <w:rsid w:val="003778B0"/>
    <w:rsid w:val="00386C1A"/>
    <w:rsid w:val="00390396"/>
    <w:rsid w:val="003B46E1"/>
    <w:rsid w:val="003C5ED6"/>
    <w:rsid w:val="00413EF7"/>
    <w:rsid w:val="0041694D"/>
    <w:rsid w:val="00447E03"/>
    <w:rsid w:val="00456011"/>
    <w:rsid w:val="00466328"/>
    <w:rsid w:val="00487725"/>
    <w:rsid w:val="004B0DEF"/>
    <w:rsid w:val="004D1DE3"/>
    <w:rsid w:val="0052670D"/>
    <w:rsid w:val="00533102"/>
    <w:rsid w:val="00553CED"/>
    <w:rsid w:val="005B5920"/>
    <w:rsid w:val="005C1B98"/>
    <w:rsid w:val="005F2011"/>
    <w:rsid w:val="00626558"/>
    <w:rsid w:val="00637296"/>
    <w:rsid w:val="006558AC"/>
    <w:rsid w:val="00664561"/>
    <w:rsid w:val="006831DE"/>
    <w:rsid w:val="00693771"/>
    <w:rsid w:val="006B21A1"/>
    <w:rsid w:val="006E20AF"/>
    <w:rsid w:val="006E7698"/>
    <w:rsid w:val="007002A3"/>
    <w:rsid w:val="00710AF2"/>
    <w:rsid w:val="00713BF0"/>
    <w:rsid w:val="00733F9C"/>
    <w:rsid w:val="00777F3E"/>
    <w:rsid w:val="007877B5"/>
    <w:rsid w:val="007900F2"/>
    <w:rsid w:val="00794221"/>
    <w:rsid w:val="00796973"/>
    <w:rsid w:val="007A77E3"/>
    <w:rsid w:val="007A7DD5"/>
    <w:rsid w:val="007C7A0D"/>
    <w:rsid w:val="007D6B69"/>
    <w:rsid w:val="008101D7"/>
    <w:rsid w:val="00816CCF"/>
    <w:rsid w:val="00833E93"/>
    <w:rsid w:val="0084026A"/>
    <w:rsid w:val="00862D77"/>
    <w:rsid w:val="0087510C"/>
    <w:rsid w:val="0088069B"/>
    <w:rsid w:val="008A5682"/>
    <w:rsid w:val="008C5B75"/>
    <w:rsid w:val="008E20AC"/>
    <w:rsid w:val="008F137A"/>
    <w:rsid w:val="008F7F1C"/>
    <w:rsid w:val="00901A32"/>
    <w:rsid w:val="0093003E"/>
    <w:rsid w:val="0094065A"/>
    <w:rsid w:val="009518C7"/>
    <w:rsid w:val="009705E5"/>
    <w:rsid w:val="009A289F"/>
    <w:rsid w:val="009C28DC"/>
    <w:rsid w:val="009F14BB"/>
    <w:rsid w:val="00A33F89"/>
    <w:rsid w:val="00A35F67"/>
    <w:rsid w:val="00A368CB"/>
    <w:rsid w:val="00A379E3"/>
    <w:rsid w:val="00A61E50"/>
    <w:rsid w:val="00A94520"/>
    <w:rsid w:val="00A96EAE"/>
    <w:rsid w:val="00AD0C67"/>
    <w:rsid w:val="00AD2A31"/>
    <w:rsid w:val="00AE32C8"/>
    <w:rsid w:val="00B01C8E"/>
    <w:rsid w:val="00B07AB3"/>
    <w:rsid w:val="00B3226E"/>
    <w:rsid w:val="00B52EEC"/>
    <w:rsid w:val="00B53C69"/>
    <w:rsid w:val="00B62C33"/>
    <w:rsid w:val="00B66985"/>
    <w:rsid w:val="00B90B93"/>
    <w:rsid w:val="00BB018F"/>
    <w:rsid w:val="00BC5384"/>
    <w:rsid w:val="00BD3B28"/>
    <w:rsid w:val="00BF0389"/>
    <w:rsid w:val="00C56CBD"/>
    <w:rsid w:val="00C73528"/>
    <w:rsid w:val="00C87079"/>
    <w:rsid w:val="00CA57D1"/>
    <w:rsid w:val="00CB0EAA"/>
    <w:rsid w:val="00CC490B"/>
    <w:rsid w:val="00CE7F6F"/>
    <w:rsid w:val="00CF6F74"/>
    <w:rsid w:val="00D01CDF"/>
    <w:rsid w:val="00D0486F"/>
    <w:rsid w:val="00D06352"/>
    <w:rsid w:val="00D138EC"/>
    <w:rsid w:val="00D4663B"/>
    <w:rsid w:val="00D46DDF"/>
    <w:rsid w:val="00D513B3"/>
    <w:rsid w:val="00D523A5"/>
    <w:rsid w:val="00D62B11"/>
    <w:rsid w:val="00D745AC"/>
    <w:rsid w:val="00D74C3C"/>
    <w:rsid w:val="00D975FA"/>
    <w:rsid w:val="00DA71A9"/>
    <w:rsid w:val="00DC0B04"/>
    <w:rsid w:val="00DF1DC7"/>
    <w:rsid w:val="00E20B2B"/>
    <w:rsid w:val="00E5075B"/>
    <w:rsid w:val="00E579BE"/>
    <w:rsid w:val="00E607D2"/>
    <w:rsid w:val="00E808EF"/>
    <w:rsid w:val="00EB6734"/>
    <w:rsid w:val="00EE0C9F"/>
    <w:rsid w:val="00EE79C2"/>
    <w:rsid w:val="00F02535"/>
    <w:rsid w:val="00F46156"/>
    <w:rsid w:val="00F7406F"/>
    <w:rsid w:val="00F9319D"/>
    <w:rsid w:val="00FB45C8"/>
    <w:rsid w:val="00FD080C"/>
    <w:rsid w:val="00FD3AC7"/>
    <w:rsid w:val="00FF7F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98CCFC1C084B27A0835ABE43BA481F">
    <w:name w:val="3098CCFC1C084B27A0835ABE43BA481F"/>
  </w:style>
  <w:style w:type="paragraph" w:customStyle="1" w:styleId="3E70840594124E1BA78B4FC551C0FAE9">
    <w:name w:val="3E70840594124E1BA78B4FC551C0FAE9"/>
  </w:style>
  <w:style w:type="paragraph" w:customStyle="1" w:styleId="A9360176820C4201B243F3572091DEB7">
    <w:name w:val="A9360176820C4201B243F3572091DEB7"/>
  </w:style>
  <w:style w:type="paragraph" w:customStyle="1" w:styleId="FFC4A7BDBA77435EB3CB2E799667C79A">
    <w:name w:val="FFC4A7BDBA77435EB3CB2E799667C79A"/>
  </w:style>
  <w:style w:type="paragraph" w:customStyle="1" w:styleId="1828A7126B6A4AE3B7BFBBE87B33D972">
    <w:name w:val="1828A7126B6A4AE3B7BFBBE87B33D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VT">
      <a:dk1>
        <a:sysClr val="windowText" lastClr="000000"/>
      </a:dk1>
      <a:lt1>
        <a:sysClr val="window" lastClr="FFFFFF"/>
      </a:lt1>
      <a:dk2>
        <a:srgbClr val="000000"/>
      </a:dk2>
      <a:lt2>
        <a:srgbClr val="FFFFFF"/>
      </a:lt2>
      <a:accent1>
        <a:srgbClr val="2C4BA0"/>
      </a:accent1>
      <a:accent2>
        <a:srgbClr val="6D6868"/>
      </a:accent2>
      <a:accent3>
        <a:srgbClr val="F1F2F2"/>
      </a:accent3>
      <a:accent4>
        <a:srgbClr val="2C4BA0"/>
      </a:accent4>
      <a:accent5>
        <a:srgbClr val="6D6868"/>
      </a:accent5>
      <a:accent6>
        <a:srgbClr val="6F7072"/>
      </a:accent6>
      <a:hlink>
        <a:srgbClr val="000000"/>
      </a:hlink>
      <a:folHlink>
        <a:srgbClr val="000000"/>
      </a:folHlink>
    </a:clrScheme>
    <a:fontScheme name="WVT">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36b737-7a15-45c9-aa55-60b829812b9c" xsi:nil="true"/>
    <lcf76f155ced4ddcb4097134ff3c332f xmlns="7e6efeb2-6871-4338-8041-a3189fc08d76">
      <Terms xmlns="http://schemas.microsoft.com/office/infopath/2007/PartnerControls"/>
    </lcf76f155ced4ddcb4097134ff3c332f>
    <No_x002e_ xmlns="7e6efeb2-6871-4338-8041-a3189fc08d76" xsi:nil="true"/>
    <Order0 xmlns="7e6efeb2-6871-4338-8041-a3189fc08d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5ED685A0F6704EAD340BB34367538A" ma:contentTypeVersion="21" ma:contentTypeDescription="Create a new document." ma:contentTypeScope="" ma:versionID="e7320b38ff14dd41b629fcc76c4a8d15">
  <xsd:schema xmlns:xsd="http://www.w3.org/2001/XMLSchema" xmlns:xs="http://www.w3.org/2001/XMLSchema" xmlns:p="http://schemas.microsoft.com/office/2006/metadata/properties" xmlns:ns2="7e6efeb2-6871-4338-8041-a3189fc08d76" xmlns:ns3="fb1c2c90-7ebb-4f49-9b69-8e3e86b86080" xmlns:ns4="fe36b737-7a15-45c9-aa55-60b829812b9c" targetNamespace="http://schemas.microsoft.com/office/2006/metadata/properties" ma:root="true" ma:fieldsID="d751fa385f2286886282ee15bdcd0736" ns2:_="" ns3:_="" ns4:_="">
    <xsd:import namespace="7e6efeb2-6871-4338-8041-a3189fc08d76"/>
    <xsd:import namespace="fb1c2c90-7ebb-4f49-9b69-8e3e86b86080"/>
    <xsd:import namespace="fe36b737-7a15-45c9-aa55-60b829812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Order0" minOccurs="0"/>
                <xsd:element ref="ns2:No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feb2-6871-4338-8041-a3189fc08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e67b6b-74cb-4963-8df3-8bbebf5323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der0" ma:index="25" nillable="true" ma:displayName="Order" ma:format="Dropdown" ma:internalName="Order0" ma:percentage="FALSE">
      <xsd:simpleType>
        <xsd:restriction base="dms:Number"/>
      </xsd:simpleType>
    </xsd:element>
    <xsd:element name="No_x002e_" ma:index="26" nillable="true" ma:displayName="No." ma:format="Dropdown" ma:internalName="No_x002e_" ma:percentage="FALS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c2c90-7ebb-4f49-9b69-8e3e86b86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6b737-7a15-45c9-aa55-60b829812b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6fae44e-9720-4319-a2f1-ed929039a556}" ma:internalName="TaxCatchAll" ma:showField="CatchAllData" ma:web="fb1c2c90-7ebb-4f49-9b69-8e3e86b86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0500D-AC8B-4F82-BC19-375FF5C2BC83}">
  <ds:schemaRefs>
    <ds:schemaRef ds:uri="http://www.w3.org/XML/1998/namespace"/>
    <ds:schemaRef ds:uri="fb1c2c90-7ebb-4f49-9b69-8e3e86b86080"/>
    <ds:schemaRef ds:uri="fe36b737-7a15-45c9-aa55-60b829812b9c"/>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e6efeb2-6871-4338-8041-a3189fc08d76"/>
  </ds:schemaRefs>
</ds:datastoreItem>
</file>

<file path=customXml/itemProps2.xml><?xml version="1.0" encoding="utf-8"?>
<ds:datastoreItem xmlns:ds="http://schemas.openxmlformats.org/officeDocument/2006/customXml" ds:itemID="{B8FEFE6D-13E4-485F-A226-8BAA2EE0DE69}">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4DA91EF4-9F0E-42AA-A84C-32ECABB8A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efeb2-6871-4338-8041-a3189fc08d76"/>
    <ds:schemaRef ds:uri="fb1c2c90-7ebb-4f49-9b69-8e3e86b86080"/>
    <ds:schemaRef ds:uri="fe36b737-7a15-45c9-aa55-60b829812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a695a3-ddbc-4fff-bbf7-686c31f786d3}" enabled="1" method="Privileged" siteId="{a394e41c-cf8d-458e-ac1b-ddae1aa15629}" removed="0"/>
</clbl:labelList>
</file>

<file path=docProps/app.xml><?xml version="1.0" encoding="utf-8"?>
<Properties xmlns="http://schemas.openxmlformats.org/officeDocument/2006/extended-properties" xmlns:vt="http://schemas.openxmlformats.org/officeDocument/2006/docPropsVTypes">
  <Template>1-001-ANS-0000-EES-TE-0002_5.0</Template>
  <TotalTime>49</TotalTime>
  <Pages>13</Pages>
  <Words>4770</Words>
  <Characters>27189</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Chapter 26: Greenhouse gas</vt:lpstr>
    </vt:vector>
  </TitlesOfParts>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Greenhouse gas</dc:title>
  <dc:subject/>
  <dc:creator/>
  <cp:keywords/>
  <dc:description/>
  <cp:lastModifiedBy/>
  <cp:lastPrinted>2025-02-07T23:38:00Z</cp:lastPrinted>
  <dcterms:created xsi:type="dcterms:W3CDTF">2025-05-22T07:49:00Z</dcterms:created>
  <dcterms:modified xsi:type="dcterms:W3CDTF">2025-06-19T01:07:00Z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1dd33681,66f4fcee,4062e4d7,7378ee2,6e7ac016,75d96579,1531926c,56fb4197,6c22a42d,19529965,711d8ebf,525daa10,452ad675</vt:lpwstr>
  </property>
  <property fmtid="{D5CDD505-2E9C-101B-9397-08002B2CF9AE}" pid="3" name="ClassificationContentMarkingFooterFontProps">
    <vt:lpwstr>#7f7f7f,7,Century Gothic</vt:lpwstr>
  </property>
  <property fmtid="{D5CDD505-2E9C-101B-9397-08002B2CF9AE}" pid="4" name="ClassificationContentMarkingFooterText">
    <vt:lpwstr>CONFIDENTIAL</vt:lpwstr>
  </property>
  <property fmtid="{D5CDD505-2E9C-101B-9397-08002B2CF9AE}" pid="5" name="ContentTypeId">
    <vt:lpwstr>0x010100625ED685A0F6704EAD340BB34367538A</vt:lpwstr>
  </property>
  <property fmtid="{D5CDD505-2E9C-101B-9397-08002B2CF9AE}" pid="6" name="MediaServiceImageTags">
    <vt:lpwstr/>
  </property>
  <property fmtid="{D5CDD505-2E9C-101B-9397-08002B2CF9AE}" pid="7" name="MSIP_Label_fbc029f1-7b6e-4e10-8282-fc5331153e31_Enabled">
    <vt:lpwstr>true</vt:lpwstr>
  </property>
  <property fmtid="{D5CDD505-2E9C-101B-9397-08002B2CF9AE}" pid="8" name="MSIP_Label_fbc029f1-7b6e-4e10-8282-fc5331153e31_SetDate">
    <vt:lpwstr>2024-10-07T02:52:11Z</vt:lpwstr>
  </property>
  <property fmtid="{D5CDD505-2E9C-101B-9397-08002B2CF9AE}" pid="9" name="MSIP_Label_fbc029f1-7b6e-4e10-8282-fc5331153e31_Method">
    <vt:lpwstr>Privileged</vt:lpwstr>
  </property>
  <property fmtid="{D5CDD505-2E9C-101B-9397-08002B2CF9AE}" pid="10" name="MSIP_Label_fbc029f1-7b6e-4e10-8282-fc5331153e31_Name">
    <vt:lpwstr>fbc029f1-7b6e-4e10-8282-fc5331153e31</vt:lpwstr>
  </property>
  <property fmtid="{D5CDD505-2E9C-101B-9397-08002B2CF9AE}" pid="11" name="MSIP_Label_fbc029f1-7b6e-4e10-8282-fc5331153e31_SiteId">
    <vt:lpwstr>37247798-f42c-42fd-8a37-d49c7128d36b</vt:lpwstr>
  </property>
  <property fmtid="{D5CDD505-2E9C-101B-9397-08002B2CF9AE}" pid="12" name="MSIP_Label_fbc029f1-7b6e-4e10-8282-fc5331153e31_ActionId">
    <vt:lpwstr>2430930d-7b49-42c0-be24-45fd8723ad50</vt:lpwstr>
  </property>
  <property fmtid="{D5CDD505-2E9C-101B-9397-08002B2CF9AE}" pid="13" name="MSIP_Label_fbc029f1-7b6e-4e10-8282-fc5331153e31_ContentBits">
    <vt:lpwstr>0</vt:lpwstr>
  </property>
  <property fmtid="{D5CDD505-2E9C-101B-9397-08002B2CF9AE}" pid="14" name="Folder_Number">
    <vt:lpwstr/>
  </property>
  <property fmtid="{D5CDD505-2E9C-101B-9397-08002B2CF9AE}" pid="15" name="Folder_Code">
    <vt:lpwstr/>
  </property>
  <property fmtid="{D5CDD505-2E9C-101B-9397-08002B2CF9AE}" pid="16" name="Folder_Name">
    <vt:lpwstr/>
  </property>
  <property fmtid="{D5CDD505-2E9C-101B-9397-08002B2CF9AE}" pid="17" name="Folder_Description">
    <vt:lpwstr/>
  </property>
  <property fmtid="{D5CDD505-2E9C-101B-9397-08002B2CF9AE}" pid="18" name="/Folder_Name/">
    <vt:lpwstr/>
  </property>
  <property fmtid="{D5CDD505-2E9C-101B-9397-08002B2CF9AE}" pid="19" name="/Folder_Description/">
    <vt:lpwstr/>
  </property>
  <property fmtid="{D5CDD505-2E9C-101B-9397-08002B2CF9AE}" pid="20" name="Folder_Version">
    <vt:lpwstr/>
  </property>
  <property fmtid="{D5CDD505-2E9C-101B-9397-08002B2CF9AE}" pid="21" name="Folder_VersionSeq">
    <vt:lpwstr/>
  </property>
  <property fmtid="{D5CDD505-2E9C-101B-9397-08002B2CF9AE}" pid="22" name="Folder_Manager">
    <vt:lpwstr/>
  </property>
  <property fmtid="{D5CDD505-2E9C-101B-9397-08002B2CF9AE}" pid="23" name="Folder_ManagerDesc">
    <vt:lpwstr/>
  </property>
  <property fmtid="{D5CDD505-2E9C-101B-9397-08002B2CF9AE}" pid="24" name="Folder_Storage">
    <vt:lpwstr/>
  </property>
  <property fmtid="{D5CDD505-2E9C-101B-9397-08002B2CF9AE}" pid="25" name="Folder_StorageDesc">
    <vt:lpwstr/>
  </property>
  <property fmtid="{D5CDD505-2E9C-101B-9397-08002B2CF9AE}" pid="26" name="Folder_Creator">
    <vt:lpwstr/>
  </property>
  <property fmtid="{D5CDD505-2E9C-101B-9397-08002B2CF9AE}" pid="27" name="Folder_CreatorDesc">
    <vt:lpwstr/>
  </property>
  <property fmtid="{D5CDD505-2E9C-101B-9397-08002B2CF9AE}" pid="28" name="Folder_CreateDate">
    <vt:lpwstr/>
  </property>
  <property fmtid="{D5CDD505-2E9C-101B-9397-08002B2CF9AE}" pid="29" name="Folder_Updater">
    <vt:lpwstr/>
  </property>
  <property fmtid="{D5CDD505-2E9C-101B-9397-08002B2CF9AE}" pid="30" name="Folder_UpdaterDesc">
    <vt:lpwstr/>
  </property>
  <property fmtid="{D5CDD505-2E9C-101B-9397-08002B2CF9AE}" pid="31" name="Folder_UpdateDate">
    <vt:lpwstr/>
  </property>
  <property fmtid="{D5CDD505-2E9C-101B-9397-08002B2CF9AE}" pid="32" name="Document_Number">
    <vt:lpwstr/>
  </property>
  <property fmtid="{D5CDD505-2E9C-101B-9397-08002B2CF9AE}" pid="33" name="Document_Name">
    <vt:lpwstr/>
  </property>
  <property fmtid="{D5CDD505-2E9C-101B-9397-08002B2CF9AE}" pid="34" name="Document_FileName">
    <vt:lpwstr/>
  </property>
  <property fmtid="{D5CDD505-2E9C-101B-9397-08002B2CF9AE}" pid="35" name="Document_Version">
    <vt:lpwstr/>
  </property>
  <property fmtid="{D5CDD505-2E9C-101B-9397-08002B2CF9AE}" pid="36" name="Document_VersionSeq">
    <vt:lpwstr/>
  </property>
  <property fmtid="{D5CDD505-2E9C-101B-9397-08002B2CF9AE}" pid="37" name="Document_Creator">
    <vt:lpwstr/>
  </property>
  <property fmtid="{D5CDD505-2E9C-101B-9397-08002B2CF9AE}" pid="38" name="Document_CreatorDesc">
    <vt:lpwstr/>
  </property>
  <property fmtid="{D5CDD505-2E9C-101B-9397-08002B2CF9AE}" pid="39" name="Document_CreateDate">
    <vt:lpwstr/>
  </property>
  <property fmtid="{D5CDD505-2E9C-101B-9397-08002B2CF9AE}" pid="40" name="Document_Updater">
    <vt:lpwstr/>
  </property>
  <property fmtid="{D5CDD505-2E9C-101B-9397-08002B2CF9AE}" pid="41" name="Document_UpdaterDesc">
    <vt:lpwstr/>
  </property>
  <property fmtid="{D5CDD505-2E9C-101B-9397-08002B2CF9AE}" pid="42" name="Document_UpdateDate">
    <vt:lpwstr/>
  </property>
  <property fmtid="{D5CDD505-2E9C-101B-9397-08002B2CF9AE}" pid="43" name="Document_Size">
    <vt:lpwstr/>
  </property>
  <property fmtid="{D5CDD505-2E9C-101B-9397-08002B2CF9AE}" pid="44" name="Document_Storage">
    <vt:lpwstr/>
  </property>
  <property fmtid="{D5CDD505-2E9C-101B-9397-08002B2CF9AE}" pid="45" name="Document_StorageDesc">
    <vt:lpwstr/>
  </property>
  <property fmtid="{D5CDD505-2E9C-101B-9397-08002B2CF9AE}" pid="46" name="Document_Department">
    <vt:lpwstr/>
  </property>
  <property fmtid="{D5CDD505-2E9C-101B-9397-08002B2CF9AE}" pid="47" name="Document_DepartmentDesc">
    <vt:lpwstr/>
  </property>
</Properties>
</file>