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6F4C0B" w14:textId="6CF112AC" w:rsidR="005705E9" w:rsidRDefault="007942E1" w:rsidP="00DF38A5">
      <w:r>
        <w:rPr>
          <w:noProof/>
        </w:rPr>
        <w:drawing>
          <wp:anchor distT="0" distB="0" distL="114300" distR="114300" simplePos="0" relativeHeight="251666441" behindDoc="0" locked="0" layoutInCell="1" allowOverlap="1" wp14:anchorId="46A8CDD1" wp14:editId="409DFDB1">
            <wp:simplePos x="0" y="0"/>
            <wp:positionH relativeFrom="margin">
              <wp:posOffset>-899814</wp:posOffset>
            </wp:positionH>
            <wp:positionV relativeFrom="margin">
              <wp:posOffset>-900430</wp:posOffset>
            </wp:positionV>
            <wp:extent cx="7558767" cy="10692000"/>
            <wp:effectExtent l="0" t="0" r="4445" b="0"/>
            <wp:wrapNone/>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58767"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103BEE" w14:textId="6AE6DF2A" w:rsidR="00AB17B4" w:rsidRDefault="007942E1" w:rsidP="00242384">
      <w:pPr>
        <w:spacing w:after="160"/>
      </w:pPr>
      <w:r>
        <w:br w:type="page"/>
      </w:r>
    </w:p>
    <w:p w14:paraId="5F87EEF7" w14:textId="3983FB81" w:rsidR="0083349E" w:rsidRDefault="0083349E" w:rsidP="0083349E">
      <w:pPr>
        <w:sectPr w:rsidR="0083349E" w:rsidSect="0076044F">
          <w:footerReference w:type="even" r:id="rId12"/>
          <w:footerReference w:type="default" r:id="rId13"/>
          <w:footerReference w:type="first" r:id="rId14"/>
          <w:footnotePr>
            <w:numFmt w:val="chicago"/>
            <w:numRestart w:val="eachPage"/>
          </w:footnotePr>
          <w:type w:val="continuous"/>
          <w:pgSz w:w="11906" w:h="16838" w:code="9"/>
          <w:pgMar w:top="1418" w:right="1418" w:bottom="1418" w:left="1418" w:header="1134" w:footer="340" w:gutter="0"/>
          <w:cols w:space="708"/>
          <w:docGrid w:linePitch="360"/>
        </w:sectPr>
      </w:pPr>
    </w:p>
    <w:p w14:paraId="6C09C551" w14:textId="0287D070" w:rsidR="00043249" w:rsidRDefault="00372DF1" w:rsidP="00F60BFB">
      <w:pPr>
        <w:pStyle w:val="Heading1"/>
      </w:pPr>
      <w:bookmarkStart w:id="0" w:name="_Ref197944225"/>
      <w:r>
        <w:lastRenderedPageBreak/>
        <w:t>EES assessment framework and approach</w:t>
      </w:r>
      <w:bookmarkEnd w:id="0"/>
    </w:p>
    <w:p w14:paraId="261BB825" w14:textId="77AED24C" w:rsidR="00372DF1" w:rsidRDefault="00372DF1" w:rsidP="00372DF1">
      <w:pPr>
        <w:pStyle w:val="Introduction"/>
      </w:pPr>
      <w:r w:rsidRPr="00372DF1">
        <w:t>An assessment framework was developed for the Environment Effects Statement (EES) to provide a consistent and transparent approach across the technical reports to assess the potential impacts of the Project on the environment. This chapter describes the components of the assessment framework and the processes that were applied in preparing the EES.</w:t>
      </w:r>
    </w:p>
    <w:p w14:paraId="022DA4AD" w14:textId="06AD60E9" w:rsidR="00372DF1" w:rsidRDefault="00372DF1" w:rsidP="00372DF1">
      <w:r w:rsidRPr="00372DF1">
        <w:t>The development of the EES assessment framework is consistent with the following:</w:t>
      </w:r>
    </w:p>
    <w:p w14:paraId="33DEA573" w14:textId="339D00BD" w:rsidR="00372DF1" w:rsidRDefault="00372DF1" w:rsidP="00372DF1">
      <w:pPr>
        <w:pStyle w:val="ListBullet"/>
      </w:pPr>
      <w:r>
        <w:t xml:space="preserve">‘Scoping Requirements Western Renewables Link Project Environment Effects Statement’ </w:t>
      </w:r>
    </w:p>
    <w:p w14:paraId="7F7DFC59" w14:textId="77777777" w:rsidR="00372DF1" w:rsidRDefault="00372DF1" w:rsidP="00372DF1">
      <w:pPr>
        <w:pStyle w:val="ListBullet"/>
      </w:pPr>
      <w:r>
        <w:t xml:space="preserve">Legislation, including the General Environmental Duty imposed by the </w:t>
      </w:r>
      <w:r w:rsidRPr="00453BB7">
        <w:rPr>
          <w:i/>
          <w:iCs/>
        </w:rPr>
        <w:t>Environment Protection Act 2017 (Vic)</w:t>
      </w:r>
      <w:r>
        <w:t xml:space="preserve"> (Environment Protection Act).</w:t>
      </w:r>
    </w:p>
    <w:p w14:paraId="7FABB7DB" w14:textId="7E3989D9" w:rsidR="00372DF1" w:rsidRPr="00986843" w:rsidRDefault="00372DF1" w:rsidP="007942E1">
      <w:pPr>
        <w:pStyle w:val="Heading2"/>
      </w:pPr>
      <w:r w:rsidRPr="00986843">
        <w:t>Overview of the EES assessment framework</w:t>
      </w:r>
    </w:p>
    <w:p w14:paraId="5FF4696D" w14:textId="48D6611C" w:rsidR="00372DF1" w:rsidRDefault="00372DF1" w:rsidP="00372DF1">
      <w:r w:rsidRPr="00372DF1">
        <w:t>The EES assessment framework consists of the following key components:</w:t>
      </w:r>
    </w:p>
    <w:p w14:paraId="338B3E2C" w14:textId="77777777" w:rsidR="00372DF1" w:rsidRDefault="00372DF1" w:rsidP="00372DF1">
      <w:pPr>
        <w:pStyle w:val="ListBullet"/>
      </w:pPr>
      <w:r w:rsidRPr="007942E1">
        <w:rPr>
          <w:b/>
          <w:bCs/>
        </w:rPr>
        <w:t>Legislation, policy, guidelines and EES evaluation objectives:</w:t>
      </w:r>
      <w:r>
        <w:t xml:space="preserve"> These requirements form the foundation of the EES assessment framework and inform the technical reports prepared and identification of matters to be investigated in the EES. </w:t>
      </w:r>
    </w:p>
    <w:p w14:paraId="7FDCDCFF" w14:textId="77777777" w:rsidR="00372DF1" w:rsidRDefault="00372DF1" w:rsidP="00372DF1">
      <w:pPr>
        <w:pStyle w:val="ListBullet"/>
      </w:pPr>
      <w:r w:rsidRPr="007942E1">
        <w:rPr>
          <w:b/>
          <w:bCs/>
        </w:rPr>
        <w:t>Project development and Project description:</w:t>
      </w:r>
      <w:r>
        <w:t xml:space="preserve"> The Project’s objectives (see </w:t>
      </w:r>
      <w:r w:rsidRPr="00372DF1">
        <w:rPr>
          <w:b/>
          <w:bCs/>
        </w:rPr>
        <w:t>Chapter 1: Introduction</w:t>
      </w:r>
      <w:r>
        <w:t xml:space="preserve">) guided the development of the design for the Project. The Project description outlines the project design and (see </w:t>
      </w:r>
      <w:r w:rsidRPr="00372DF1">
        <w:rPr>
          <w:b/>
          <w:bCs/>
        </w:rPr>
        <w:t>Chapter 6: Project description</w:t>
      </w:r>
      <w:r>
        <w:t xml:space="preserve">) forms the basis for the EES assessment. The Project’s development and refinement was iterative and informed by the impact assessment process in response to the identification of potential Project impacts, and landholder and stakeholder feedback (see </w:t>
      </w:r>
      <w:r w:rsidRPr="00372DF1">
        <w:rPr>
          <w:b/>
          <w:bCs/>
        </w:rPr>
        <w:t>Chapter 5: Project development</w:t>
      </w:r>
      <w:r>
        <w:t>).</w:t>
      </w:r>
    </w:p>
    <w:p w14:paraId="5717199F" w14:textId="77777777" w:rsidR="00372DF1" w:rsidRDefault="00372DF1" w:rsidP="00372DF1">
      <w:pPr>
        <w:pStyle w:val="ListBullet"/>
      </w:pPr>
      <w:r w:rsidRPr="007942E1">
        <w:rPr>
          <w:b/>
          <w:bCs/>
        </w:rPr>
        <w:t xml:space="preserve">Impact assessment: </w:t>
      </w:r>
      <w:r>
        <w:t>Identifying and assessing impacts to the environment due to the Project forms the basis of the EES. The process involved desktop review, field surveys, stakeholder engagement, characterisation of the existing environmental values, identification of key issues and impacts, and assessment of the potential effects on the existing environment. Mitigation measures to avoid, minimise, manage, rehabilitate and offset those effects were identified to inform the development of Environmental Performance Requirements (EPRs), and assessment of residual impacts. The impact assessment also involved consideration of other relevant projects that could lead to cumulative impacts.</w:t>
      </w:r>
    </w:p>
    <w:p w14:paraId="2C3ED3B0" w14:textId="77777777" w:rsidR="00372DF1" w:rsidRDefault="00372DF1" w:rsidP="00372DF1">
      <w:pPr>
        <w:pStyle w:val="ListBullet"/>
      </w:pPr>
      <w:r w:rsidRPr="007942E1">
        <w:rPr>
          <w:b/>
          <w:bCs/>
        </w:rPr>
        <w:t xml:space="preserve">Environmental Performance Requirements (EPRs): </w:t>
      </w:r>
      <w:r>
        <w:t xml:space="preserve">EPRs were developed through the preparation of the impact assessments. EPRs define the environmental outcomes to be achieved during construction, operation and decommissioning. While some EPRs are performance based to allow flexibility on how they will be achieved, others include more prescriptive measures that must be implemented. Compliance with the EPRs will be required as a condition of the Project’s approval. Mitigation measures described in the impact assessments have informed the development of the EPRs. The EPRs are incorporated into the Environmental Management Framework, provided in </w:t>
      </w:r>
      <w:r w:rsidRPr="00DC42C3">
        <w:rPr>
          <w:b/>
          <w:bCs/>
        </w:rPr>
        <w:t>Chapter 29: Environmental Management Framework</w:t>
      </w:r>
      <w:r>
        <w:t xml:space="preserve">. </w:t>
      </w:r>
    </w:p>
    <w:p w14:paraId="014BC223" w14:textId="77777777" w:rsidR="00372DF1" w:rsidRDefault="00372DF1" w:rsidP="009104E9">
      <w:pPr>
        <w:pStyle w:val="ListBullet"/>
        <w:keepNext/>
        <w:keepLines/>
      </w:pPr>
      <w:r w:rsidRPr="007942E1">
        <w:rPr>
          <w:b/>
          <w:bCs/>
        </w:rPr>
        <w:lastRenderedPageBreak/>
        <w:t>Management:</w:t>
      </w:r>
      <w:r>
        <w:t xml:space="preserve"> An Environmental Management Framework provide a transparent framework for the management of environmental effects of the Project during construction, operation and decommissioning. It is one component of the overall governance framework developed for the delivery of the Project to meet statutory requirements, protect environmental values and provide stakeholder confidence. The Environmental Management Framework outlines the roles, responsibilities, and requirements for environmental management, monitoring, reporting, and auditing. It also includes accountabilities for the implementation of, and compliance with, the Environmental Management Framework and EPRs.</w:t>
      </w:r>
    </w:p>
    <w:p w14:paraId="526358DC" w14:textId="77777777" w:rsidR="00372DF1" w:rsidRDefault="00372DF1" w:rsidP="00372DF1">
      <w:pPr>
        <w:pStyle w:val="ListBullet"/>
      </w:pPr>
      <w:r w:rsidRPr="007942E1">
        <w:rPr>
          <w:b/>
          <w:bCs/>
        </w:rPr>
        <w:t>Consultation and engagement:</w:t>
      </w:r>
      <w:r>
        <w:t xml:space="preserve"> The Project’s consultation and engagement program seeks input from Traditional Owners, landholders, the community, and other stakeholders on design and development, aims to keep the community informed of the Project’s progress and provides a platform to identify and respond to stakeholder and community concerns. The outcomes of consultation with the community and engagement with the Technical Reference Group and other stakeholders are key inputs into the assessment and management components of the EES assessment framework, particularly with respect to the identification of existing conditions and values, assessment of impacts, identification of avoidance and mitigation measures and development of the Environmental Management Framework and EPRs.</w:t>
      </w:r>
    </w:p>
    <w:p w14:paraId="1B9FDD57" w14:textId="7B6797E6" w:rsidR="00372DF1" w:rsidRDefault="00372DF1" w:rsidP="00372DF1">
      <w:r>
        <w:t xml:space="preserve">The Minister for Planning’s assessment of this EES will inform statutory decision makers on the key approvals for the Project, including the Group of Councils (GC) Planning Scheme Amendment to the relevant planning schemes prepared and approved under the </w:t>
      </w:r>
      <w:r w:rsidRPr="00453BB7">
        <w:rPr>
          <w:i/>
          <w:iCs/>
        </w:rPr>
        <w:t>Planning and Environment Act 1987 (Vic)</w:t>
      </w:r>
      <w:r>
        <w:t xml:space="preserve">; approval of and adherence to Cultural Heritage Management Plans (CHMPs) under the </w:t>
      </w:r>
      <w:r w:rsidRPr="00453BB7">
        <w:rPr>
          <w:i/>
          <w:iCs/>
        </w:rPr>
        <w:t>Aboriginal Heritage Act 2006 (Vic)</w:t>
      </w:r>
      <w:r w:rsidR="00453BB7">
        <w:t>;</w:t>
      </w:r>
      <w:r>
        <w:t xml:space="preserve"> and approval of the Project which is a ‘controlled action’ under the Environment Protection and </w:t>
      </w:r>
      <w:r w:rsidRPr="00453BB7">
        <w:rPr>
          <w:i/>
          <w:iCs/>
        </w:rPr>
        <w:t>Biodiversity Conservation Act 1999 (Cth)</w:t>
      </w:r>
      <w:r>
        <w:t xml:space="preserve"> (EPBC Act). </w:t>
      </w:r>
    </w:p>
    <w:p w14:paraId="5EFB0734" w14:textId="77777777" w:rsidR="00372DF1" w:rsidRDefault="00372DF1" w:rsidP="00372DF1">
      <w:r>
        <w:t xml:space="preserve">A range of secondary approvals and consents are also potentially required for the Project to proceed (see </w:t>
      </w:r>
      <w:r w:rsidRPr="00372DF1">
        <w:rPr>
          <w:b/>
          <w:bCs/>
        </w:rPr>
        <w:t>Chapter 3: Legislative framework and approval requirements</w:t>
      </w:r>
      <w:r>
        <w:t>).</w:t>
      </w:r>
    </w:p>
    <w:p w14:paraId="7E17DA09" w14:textId="71E9274D" w:rsidR="00372DF1" w:rsidRDefault="00372DF1" w:rsidP="00372DF1">
      <w:r>
        <w:t xml:space="preserve">The relationship between the key components of the EES assessment framework are shown in </w:t>
      </w:r>
      <w:r w:rsidR="004D149C">
        <w:fldChar w:fldCharType="begin"/>
      </w:r>
      <w:r w:rsidR="004D149C">
        <w:instrText xml:space="preserve"> REF _Ref197943433 \h </w:instrText>
      </w:r>
      <w:r w:rsidR="004D149C">
        <w:fldChar w:fldCharType="separate"/>
      </w:r>
      <w:r w:rsidR="004D149C">
        <w:t>Figure</w:t>
      </w:r>
      <w:r w:rsidR="00986843">
        <w:t> </w:t>
      </w:r>
      <w:r w:rsidR="004D149C">
        <w:rPr>
          <w:noProof/>
        </w:rPr>
        <w:t>4</w:t>
      </w:r>
      <w:r w:rsidR="004D149C">
        <w:t>.</w:t>
      </w:r>
      <w:r w:rsidR="004D149C">
        <w:rPr>
          <w:noProof/>
        </w:rPr>
        <w:t>1</w:t>
      </w:r>
      <w:r w:rsidR="004D149C">
        <w:fldChar w:fldCharType="end"/>
      </w:r>
      <w:r w:rsidR="007942E1">
        <w:t xml:space="preserve"> </w:t>
      </w:r>
      <w:r>
        <w:t>and these are discussed in more detail in the sections that follow.</w:t>
      </w:r>
    </w:p>
    <w:p w14:paraId="211CDF7C" w14:textId="77777777" w:rsidR="00372DF1" w:rsidRDefault="00372DF1" w:rsidP="007942E1">
      <w:pPr>
        <w:keepNext/>
        <w:spacing w:after="0"/>
      </w:pPr>
      <w:r>
        <w:rPr>
          <w:noProof/>
        </w:rPr>
        <w:lastRenderedPageBreak/>
        <w:drawing>
          <wp:inline distT="0" distB="0" distL="0" distR="0" wp14:anchorId="60CB1DFF" wp14:editId="2C31F742">
            <wp:extent cx="5759450" cy="4208318"/>
            <wp:effectExtent l="0" t="0" r="0" b="1905"/>
            <wp:docPr id="1431692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692544" name=""/>
                    <pic:cNvPicPr/>
                  </pic:nvPicPr>
                  <pic:blipFill>
                    <a:blip r:embed="rId15"/>
                    <a:stretch>
                      <a:fillRect/>
                    </a:stretch>
                  </pic:blipFill>
                  <pic:spPr>
                    <a:xfrm>
                      <a:off x="0" y="0"/>
                      <a:ext cx="5764485" cy="4211997"/>
                    </a:xfrm>
                    <a:prstGeom prst="rect">
                      <a:avLst/>
                    </a:prstGeom>
                  </pic:spPr>
                </pic:pic>
              </a:graphicData>
            </a:graphic>
          </wp:inline>
        </w:drawing>
      </w:r>
    </w:p>
    <w:p w14:paraId="44EC35E7" w14:textId="77777777" w:rsidR="00DD46CE" w:rsidRDefault="00DD46CE" w:rsidP="00DD46CE">
      <w:pPr>
        <w:pStyle w:val="Tablesmalltext"/>
        <w:spacing w:before="0" w:after="60"/>
      </w:pPr>
      <w:bookmarkStart w:id="1" w:name="_Ref197943433"/>
      <w:r>
        <w:t>*</w:t>
      </w:r>
      <w:r w:rsidRPr="00372DF1">
        <w:t>Additional approvals / permits are required beyond those listed. Further detail is available in Chapter 3: Legislative framework and approval requirements.</w:t>
      </w:r>
    </w:p>
    <w:p w14:paraId="7E2015C1" w14:textId="4B9D7023" w:rsidR="00DD46CE" w:rsidRDefault="00372DF1" w:rsidP="007942E1">
      <w:pPr>
        <w:pStyle w:val="Caption"/>
        <w:spacing w:before="180" w:after="240"/>
      </w:pPr>
      <w:r>
        <w:t xml:space="preserve">Figure </w:t>
      </w:r>
      <w:r>
        <w:fldChar w:fldCharType="begin"/>
      </w:r>
      <w:r>
        <w:instrText>STYLEREF 1 \s</w:instrText>
      </w:r>
      <w:r>
        <w:fldChar w:fldCharType="separate"/>
      </w:r>
      <w:r w:rsidR="00137B7B">
        <w:rPr>
          <w:noProof/>
        </w:rPr>
        <w:t>4</w:t>
      </w:r>
      <w:r>
        <w:fldChar w:fldCharType="end"/>
      </w:r>
      <w:r w:rsidR="00137B7B">
        <w:t>.</w:t>
      </w:r>
      <w:r>
        <w:fldChar w:fldCharType="begin"/>
      </w:r>
      <w:r>
        <w:instrText>SEQ Figure \* ARABIC \s 1</w:instrText>
      </w:r>
      <w:r>
        <w:fldChar w:fldCharType="separate"/>
      </w:r>
      <w:r w:rsidR="00137B7B">
        <w:rPr>
          <w:noProof/>
        </w:rPr>
        <w:t>1</w:t>
      </w:r>
      <w:r>
        <w:fldChar w:fldCharType="end"/>
      </w:r>
      <w:bookmarkEnd w:id="1"/>
      <w:r>
        <w:t xml:space="preserve"> EES assessment framework</w:t>
      </w:r>
    </w:p>
    <w:p w14:paraId="3C38262D" w14:textId="18C2A426" w:rsidR="000352FF" w:rsidRDefault="000352FF" w:rsidP="000352FF">
      <w:r w:rsidRPr="000352FF">
        <w:t>A number of technical reports were independently reviewed to provide further confidence in the EES findings and conclusions. The reviews considered the assumptions, method, findings, suitability of EPRs, and if the report adequately addresses the relevant evaluation objective(s) in the EES scoping requirements. Independent reviews were conducted for the following technical reports:</w:t>
      </w:r>
    </w:p>
    <w:p w14:paraId="35B8A51B" w14:textId="77777777" w:rsidR="000352FF" w:rsidRPr="000352FF" w:rsidRDefault="000352FF" w:rsidP="000352FF">
      <w:pPr>
        <w:pStyle w:val="ListBullet"/>
        <w:rPr>
          <w:b/>
          <w:bCs/>
        </w:rPr>
      </w:pPr>
      <w:r w:rsidRPr="000352FF">
        <w:rPr>
          <w:b/>
          <w:bCs/>
        </w:rPr>
        <w:t>Technical Report C: Historical Heritage Impact Assessment – Lovell Chen</w:t>
      </w:r>
    </w:p>
    <w:p w14:paraId="07A2CF3C" w14:textId="31B1BCE9" w:rsidR="000352FF" w:rsidRPr="000352FF" w:rsidRDefault="000352FF" w:rsidP="000352FF">
      <w:pPr>
        <w:pStyle w:val="ListBullet"/>
        <w:rPr>
          <w:b/>
          <w:bCs/>
        </w:rPr>
      </w:pPr>
      <w:r w:rsidRPr="000352FF">
        <w:rPr>
          <w:b/>
          <w:bCs/>
        </w:rPr>
        <w:t xml:space="preserve">Technical Report D: Landscape and Visual Impact Assessment </w:t>
      </w:r>
      <w:r w:rsidR="009357F8" w:rsidRPr="000352FF">
        <w:rPr>
          <w:b/>
          <w:bCs/>
        </w:rPr>
        <w:t>–</w:t>
      </w:r>
      <w:r w:rsidRPr="000352FF">
        <w:rPr>
          <w:b/>
          <w:bCs/>
        </w:rPr>
        <w:t xml:space="preserve"> Hansen Partnership</w:t>
      </w:r>
    </w:p>
    <w:p w14:paraId="0BF4DCC9" w14:textId="14D8C3A6" w:rsidR="000352FF" w:rsidRPr="000352FF" w:rsidRDefault="000352FF" w:rsidP="000352FF">
      <w:pPr>
        <w:pStyle w:val="ListBullet"/>
        <w:rPr>
          <w:b/>
          <w:bCs/>
        </w:rPr>
      </w:pPr>
      <w:r w:rsidRPr="000352FF">
        <w:rPr>
          <w:b/>
          <w:bCs/>
        </w:rPr>
        <w:t xml:space="preserve">Technical Report J: Aviation Impact Assessment </w:t>
      </w:r>
      <w:r w:rsidR="009357F8" w:rsidRPr="000352FF">
        <w:rPr>
          <w:b/>
          <w:bCs/>
        </w:rPr>
        <w:t>–</w:t>
      </w:r>
      <w:r w:rsidRPr="000352FF">
        <w:rPr>
          <w:b/>
          <w:bCs/>
        </w:rPr>
        <w:t xml:space="preserve"> Aviation Projects</w:t>
      </w:r>
    </w:p>
    <w:p w14:paraId="4BC6B009" w14:textId="24B77884" w:rsidR="000352FF" w:rsidRPr="000352FF" w:rsidRDefault="000352FF" w:rsidP="000352FF">
      <w:pPr>
        <w:pStyle w:val="ListBullet"/>
        <w:rPr>
          <w:b/>
          <w:bCs/>
        </w:rPr>
      </w:pPr>
      <w:r w:rsidRPr="000352FF">
        <w:rPr>
          <w:b/>
          <w:bCs/>
        </w:rPr>
        <w:t xml:space="preserve">Technical Report K: Bushfire Impact Assessment </w:t>
      </w:r>
      <w:r w:rsidR="009357F8" w:rsidRPr="000352FF">
        <w:rPr>
          <w:b/>
          <w:bCs/>
        </w:rPr>
        <w:t>–</w:t>
      </w:r>
      <w:r w:rsidRPr="000352FF">
        <w:rPr>
          <w:b/>
          <w:bCs/>
        </w:rPr>
        <w:t xml:space="preserve"> Fire Risk Consultants </w:t>
      </w:r>
    </w:p>
    <w:p w14:paraId="205C18C5" w14:textId="273C98ED" w:rsidR="000352FF" w:rsidRPr="000352FF" w:rsidRDefault="000352FF" w:rsidP="000352FF">
      <w:pPr>
        <w:pStyle w:val="ListBullet"/>
        <w:rPr>
          <w:b/>
          <w:bCs/>
        </w:rPr>
      </w:pPr>
      <w:r w:rsidRPr="000352FF">
        <w:rPr>
          <w:b/>
          <w:bCs/>
        </w:rPr>
        <w:t xml:space="preserve">Technical Report L: EMI and EMF Impact Assessment </w:t>
      </w:r>
      <w:r w:rsidR="009357F8" w:rsidRPr="000352FF">
        <w:rPr>
          <w:b/>
          <w:bCs/>
        </w:rPr>
        <w:t>–</w:t>
      </w:r>
      <w:r w:rsidRPr="000352FF">
        <w:rPr>
          <w:b/>
          <w:bCs/>
        </w:rPr>
        <w:t xml:space="preserve"> EMF Scientific. </w:t>
      </w:r>
    </w:p>
    <w:p w14:paraId="70DED340" w14:textId="6B7A157D" w:rsidR="000352FF" w:rsidRDefault="000352FF" w:rsidP="00986843">
      <w:pPr>
        <w:pStyle w:val="Heading2"/>
      </w:pPr>
      <w:r>
        <w:lastRenderedPageBreak/>
        <w:t>Legislation, policy, guidelines and EES evaluation objectives</w:t>
      </w:r>
    </w:p>
    <w:p w14:paraId="3192AE0A" w14:textId="77777777" w:rsidR="000352FF" w:rsidRDefault="000352FF" w:rsidP="009357F8">
      <w:pPr>
        <w:keepNext/>
        <w:keepLines/>
      </w:pPr>
      <w:r>
        <w:t xml:space="preserve">The EES assessment framework responds to applicable legislation and the scoping requirements, incorporating the EES evaluation objectives issued by the Minister for Planning in November 2023. The evaluation objectives identify the desired environmental outcomes to manage the potential adverse effects of the Project and have guided the matters to be investigated and documented in the preparation of this EES. </w:t>
      </w:r>
    </w:p>
    <w:p w14:paraId="632B73AC" w14:textId="77777777" w:rsidR="000352FF" w:rsidRDefault="000352FF" w:rsidP="009104E9">
      <w:pPr>
        <w:keepNext/>
        <w:keepLines/>
      </w:pPr>
      <w:r>
        <w:t>The Project was determined to be a ‘controlled action’ by the Commonwealth Minister for the Environment and Water on 20 November 2024, requiring assessment and approval under the EPBC Act. The Minister’s decision stated that the Project will be ‘assessed under the assessment bilateral agreement with the Victorian Government’. Accordingly, the Minister will be informed by the EES process, including the Victorian Minister for Planning’s Assessment, in determining whether to approve the Project under the EPBC Act.</w:t>
      </w:r>
    </w:p>
    <w:p w14:paraId="21B207DA" w14:textId="6ECEAFEA" w:rsidR="000352FF" w:rsidRDefault="004D149C" w:rsidP="000352FF">
      <w:pPr>
        <w:sectPr w:rsidR="000352FF" w:rsidSect="00A03B48">
          <w:footerReference w:type="even" r:id="rId16"/>
          <w:footerReference w:type="default" r:id="rId17"/>
          <w:footerReference w:type="first" r:id="rId18"/>
          <w:footnotePr>
            <w:numFmt w:val="chicago"/>
            <w:numRestart w:val="eachPage"/>
          </w:footnotePr>
          <w:pgSz w:w="11906" w:h="16838" w:code="9"/>
          <w:pgMar w:top="1418" w:right="1418" w:bottom="1418" w:left="1418" w:header="1134" w:footer="340" w:gutter="0"/>
          <w:pgNumType w:start="1" w:chapStyle="1"/>
          <w:cols w:space="708"/>
          <w:docGrid w:linePitch="360"/>
        </w:sectPr>
      </w:pPr>
      <w:r>
        <w:fldChar w:fldCharType="begin"/>
      </w:r>
      <w:r>
        <w:instrText xml:space="preserve"> REF _Ref197943489 \h </w:instrText>
      </w:r>
      <w:r>
        <w:fldChar w:fldCharType="separate"/>
      </w:r>
      <w:r>
        <w:t xml:space="preserve">Table </w:t>
      </w:r>
      <w:r>
        <w:rPr>
          <w:noProof/>
        </w:rPr>
        <w:t>4</w:t>
      </w:r>
      <w:r>
        <w:t>.</w:t>
      </w:r>
      <w:r>
        <w:rPr>
          <w:noProof/>
        </w:rPr>
        <w:t>1</w:t>
      </w:r>
      <w:r>
        <w:fldChar w:fldCharType="end"/>
      </w:r>
      <w:r>
        <w:t xml:space="preserve"> </w:t>
      </w:r>
      <w:r w:rsidR="000352FF">
        <w:t>presents the Project’s EES evaluation objectives, associated legislation and a reference to where each evaluation objective is addressed within the EES main report and EES technical reports. This table includes an overview of key legislation specific to each discipline considered in their respective EES technical reports</w:t>
      </w:r>
      <w:r w:rsidR="00AC0AB4">
        <w:t>.</w:t>
      </w:r>
    </w:p>
    <w:p w14:paraId="3F3C733F" w14:textId="21B0DE93" w:rsidR="000352FF" w:rsidRDefault="000352FF" w:rsidP="000352FF">
      <w:pPr>
        <w:pStyle w:val="Caption"/>
        <w:keepNext/>
      </w:pPr>
      <w:bookmarkStart w:id="2" w:name="_Ref197943489"/>
      <w:r>
        <w:lastRenderedPageBreak/>
        <w:t xml:space="preserve">Table </w:t>
      </w:r>
      <w:r>
        <w:fldChar w:fldCharType="begin"/>
      </w:r>
      <w:r>
        <w:instrText>STYLEREF 1 \s</w:instrText>
      </w:r>
      <w:r>
        <w:fldChar w:fldCharType="separate"/>
      </w:r>
      <w:r w:rsidR="001C440C">
        <w:rPr>
          <w:noProof/>
        </w:rPr>
        <w:t>4</w:t>
      </w:r>
      <w:r>
        <w:fldChar w:fldCharType="end"/>
      </w:r>
      <w:r w:rsidR="001C440C">
        <w:t>.</w:t>
      </w:r>
      <w:r>
        <w:fldChar w:fldCharType="begin"/>
      </w:r>
      <w:r>
        <w:instrText>SEQ Table \* ARABIC \s 1</w:instrText>
      </w:r>
      <w:r>
        <w:fldChar w:fldCharType="separate"/>
      </w:r>
      <w:r w:rsidR="001C440C">
        <w:rPr>
          <w:noProof/>
        </w:rPr>
        <w:t>1</w:t>
      </w:r>
      <w:r>
        <w:fldChar w:fldCharType="end"/>
      </w:r>
      <w:bookmarkEnd w:id="2"/>
      <w:r w:rsidR="000A7FFB">
        <w:rPr>
          <w:noProof/>
        </w:rPr>
        <w:t xml:space="preserve"> </w:t>
      </w:r>
      <w:r>
        <w:t>EES evaluation objectives and corresponding legislation</w:t>
      </w:r>
    </w:p>
    <w:tbl>
      <w:tblPr>
        <w:tblStyle w:val="WVTTable2"/>
        <w:tblW w:w="0" w:type="auto"/>
        <w:tblLook w:val="0420" w:firstRow="1" w:lastRow="0" w:firstColumn="0" w:lastColumn="0" w:noHBand="0" w:noVBand="1"/>
      </w:tblPr>
      <w:tblGrid>
        <w:gridCol w:w="5103"/>
        <w:gridCol w:w="4111"/>
        <w:gridCol w:w="4788"/>
      </w:tblGrid>
      <w:tr w:rsidR="000352FF" w14:paraId="611DD53B" w14:textId="6E58B883" w:rsidTr="006672B1">
        <w:trPr>
          <w:cnfStyle w:val="100000000000" w:firstRow="1" w:lastRow="0" w:firstColumn="0" w:lastColumn="0" w:oddVBand="0" w:evenVBand="0" w:oddHBand="0" w:evenHBand="0" w:firstRowFirstColumn="0" w:firstRowLastColumn="0" w:lastRowFirstColumn="0" w:lastRowLastColumn="0"/>
          <w:trHeight w:val="238"/>
          <w:tblHeader/>
        </w:trPr>
        <w:tc>
          <w:tcPr>
            <w:tcW w:w="0" w:type="dxa"/>
          </w:tcPr>
          <w:p w14:paraId="7CE98CCB" w14:textId="3A8CE5FD" w:rsidR="000352FF" w:rsidRDefault="000352FF" w:rsidP="000352FF">
            <w:pPr>
              <w:pStyle w:val="TableText"/>
            </w:pPr>
            <w:r>
              <w:t xml:space="preserve">EES </w:t>
            </w:r>
            <w:r w:rsidR="00D66FF7">
              <w:t>e</w:t>
            </w:r>
            <w:r>
              <w:t>valuation objective</w:t>
            </w:r>
          </w:p>
        </w:tc>
        <w:tc>
          <w:tcPr>
            <w:tcW w:w="0" w:type="dxa"/>
          </w:tcPr>
          <w:p w14:paraId="26CB5237" w14:textId="7991D837" w:rsidR="000352FF" w:rsidRDefault="000352FF" w:rsidP="000352FF">
            <w:pPr>
              <w:pStyle w:val="TableText"/>
            </w:pPr>
            <w:r>
              <w:t>Relevant legislation</w:t>
            </w:r>
          </w:p>
        </w:tc>
        <w:tc>
          <w:tcPr>
            <w:tcW w:w="0" w:type="dxa"/>
          </w:tcPr>
          <w:p w14:paraId="5CAB6DF4" w14:textId="6E98A121" w:rsidR="000352FF" w:rsidRDefault="000352FF" w:rsidP="000352FF">
            <w:pPr>
              <w:pStyle w:val="TableText"/>
            </w:pPr>
            <w:r>
              <w:t>Relevant EES chapter and technical report</w:t>
            </w:r>
          </w:p>
        </w:tc>
      </w:tr>
      <w:tr w:rsidR="000352FF" w14:paraId="623012A3" w14:textId="37A606ED" w:rsidTr="392788E3">
        <w:trPr>
          <w:trHeight w:val="1955"/>
        </w:trPr>
        <w:tc>
          <w:tcPr>
            <w:tcW w:w="5103" w:type="dxa"/>
          </w:tcPr>
          <w:p w14:paraId="508A1CB0" w14:textId="3D2817E9" w:rsidR="000352FF" w:rsidRDefault="000352FF" w:rsidP="000352FF">
            <w:pPr>
              <w:pStyle w:val="TableText"/>
            </w:pPr>
            <w:r w:rsidRPr="00511D35">
              <w:t xml:space="preserve">Biodiversity and habitat: Avoid, and where avoidance is not possible, minimise potential adverse effects on protected native vegetation and animals (particularly listed threatened species and their habitat and listed ecological communities), as well as address offset requirements consistent with state and Commonwealth policies. </w:t>
            </w:r>
          </w:p>
        </w:tc>
        <w:tc>
          <w:tcPr>
            <w:tcW w:w="4111" w:type="dxa"/>
          </w:tcPr>
          <w:p w14:paraId="31ECBFED" w14:textId="77777777" w:rsidR="000352FF" w:rsidRPr="00453BB7" w:rsidRDefault="000352FF" w:rsidP="000352FF">
            <w:pPr>
              <w:pStyle w:val="TableBullet"/>
              <w:rPr>
                <w:i/>
                <w:iCs/>
              </w:rPr>
            </w:pPr>
            <w:r w:rsidRPr="00453BB7">
              <w:rPr>
                <w:i/>
                <w:iCs/>
              </w:rPr>
              <w:t>Catchment and Land Protection Act 1994 (Vic)</w:t>
            </w:r>
          </w:p>
          <w:p w14:paraId="628BBA31" w14:textId="77777777" w:rsidR="000352FF" w:rsidRPr="00453BB7" w:rsidRDefault="000352FF" w:rsidP="000352FF">
            <w:pPr>
              <w:pStyle w:val="TableBullet"/>
              <w:rPr>
                <w:i/>
                <w:iCs/>
              </w:rPr>
            </w:pPr>
            <w:r w:rsidRPr="00453BB7">
              <w:rPr>
                <w:i/>
                <w:iCs/>
              </w:rPr>
              <w:t>Environment Protection Act 2017 (Vic)</w:t>
            </w:r>
          </w:p>
          <w:p w14:paraId="2572D480" w14:textId="77777777" w:rsidR="000352FF" w:rsidRPr="00453BB7" w:rsidRDefault="000352FF" w:rsidP="000352FF">
            <w:pPr>
              <w:pStyle w:val="TableBullet"/>
              <w:rPr>
                <w:i/>
                <w:iCs/>
              </w:rPr>
            </w:pPr>
            <w:r w:rsidRPr="00453BB7">
              <w:rPr>
                <w:i/>
                <w:iCs/>
              </w:rPr>
              <w:t>Environment Protection and Biodiversity Conservation Act 1999 (Cth)</w:t>
            </w:r>
          </w:p>
          <w:p w14:paraId="414EFF27" w14:textId="77777777" w:rsidR="000352FF" w:rsidRPr="00453BB7" w:rsidRDefault="000352FF" w:rsidP="000352FF">
            <w:pPr>
              <w:pStyle w:val="TableBullet"/>
              <w:rPr>
                <w:i/>
                <w:iCs/>
              </w:rPr>
            </w:pPr>
            <w:r w:rsidRPr="00453BB7">
              <w:rPr>
                <w:i/>
                <w:iCs/>
              </w:rPr>
              <w:t>Flora and Fauna Guarantee Act 1988 (Vic)</w:t>
            </w:r>
          </w:p>
          <w:p w14:paraId="0E9F4E0B" w14:textId="77777777" w:rsidR="000352FF" w:rsidRPr="00453BB7" w:rsidRDefault="000352FF" w:rsidP="000352FF">
            <w:pPr>
              <w:pStyle w:val="TableBullet"/>
              <w:rPr>
                <w:i/>
                <w:iCs/>
              </w:rPr>
            </w:pPr>
            <w:r w:rsidRPr="00453BB7">
              <w:rPr>
                <w:i/>
                <w:iCs/>
              </w:rPr>
              <w:t>Planning and Environment Act 1987 (Vic)</w:t>
            </w:r>
          </w:p>
          <w:p w14:paraId="1081AB6E" w14:textId="77777777" w:rsidR="000352FF" w:rsidRPr="00453BB7" w:rsidRDefault="000352FF" w:rsidP="000352FF">
            <w:pPr>
              <w:pStyle w:val="TableBullet"/>
              <w:rPr>
                <w:i/>
                <w:iCs/>
              </w:rPr>
            </w:pPr>
            <w:r w:rsidRPr="00453BB7">
              <w:rPr>
                <w:i/>
                <w:iCs/>
              </w:rPr>
              <w:t>Water Act 1989 (Vic)</w:t>
            </w:r>
          </w:p>
          <w:p w14:paraId="5D7B6720" w14:textId="599A4D9C" w:rsidR="000352FF" w:rsidRDefault="000352FF" w:rsidP="000352FF">
            <w:pPr>
              <w:pStyle w:val="TableBullet"/>
            </w:pPr>
            <w:r w:rsidRPr="00453BB7">
              <w:rPr>
                <w:i/>
                <w:iCs/>
              </w:rPr>
              <w:t>Wildlife Act 1975 (Vic)</w:t>
            </w:r>
          </w:p>
        </w:tc>
        <w:tc>
          <w:tcPr>
            <w:tcW w:w="4788" w:type="dxa"/>
          </w:tcPr>
          <w:p w14:paraId="3604D275" w14:textId="77777777" w:rsidR="000352FF" w:rsidRPr="006672B1" w:rsidRDefault="000352FF" w:rsidP="392788E3">
            <w:pPr>
              <w:pStyle w:val="TableBullet"/>
              <w:rPr>
                <w:b/>
                <w:bCs/>
              </w:rPr>
            </w:pPr>
            <w:r w:rsidRPr="006672B1">
              <w:rPr>
                <w:b/>
                <w:bCs/>
              </w:rPr>
              <w:t>Chapter 8: Biodiversity and habitat</w:t>
            </w:r>
          </w:p>
          <w:p w14:paraId="720A96C3" w14:textId="77777777" w:rsidR="000352FF" w:rsidRPr="006672B1" w:rsidRDefault="000352FF" w:rsidP="392788E3">
            <w:pPr>
              <w:pStyle w:val="TableBullet"/>
              <w:rPr>
                <w:b/>
                <w:bCs/>
              </w:rPr>
            </w:pPr>
            <w:r w:rsidRPr="006672B1">
              <w:rPr>
                <w:b/>
                <w:bCs/>
              </w:rPr>
              <w:t>Chapter 27: Matters of National Environmental Significance</w:t>
            </w:r>
          </w:p>
          <w:p w14:paraId="1B46A2E4" w14:textId="77777777" w:rsidR="000352FF" w:rsidRPr="006672B1" w:rsidRDefault="000352FF" w:rsidP="392788E3">
            <w:pPr>
              <w:pStyle w:val="TableBullet"/>
              <w:rPr>
                <w:b/>
                <w:bCs/>
              </w:rPr>
            </w:pPr>
            <w:r w:rsidRPr="006672B1">
              <w:rPr>
                <w:b/>
                <w:bCs/>
              </w:rPr>
              <w:t>Technical Report A: Biodiversity Impact Assessment</w:t>
            </w:r>
          </w:p>
          <w:p w14:paraId="7FE3B59A" w14:textId="77777777" w:rsidR="000352FF" w:rsidRPr="006672B1" w:rsidRDefault="000352FF" w:rsidP="392788E3">
            <w:pPr>
              <w:pStyle w:val="TableBullet"/>
              <w:rPr>
                <w:b/>
                <w:bCs/>
              </w:rPr>
            </w:pPr>
            <w:r w:rsidRPr="006672B1">
              <w:rPr>
                <w:b/>
                <w:bCs/>
              </w:rPr>
              <w:t>Technical Report S: Groundwater Impact Assessment</w:t>
            </w:r>
          </w:p>
          <w:p w14:paraId="77649167" w14:textId="5DBADEA9" w:rsidR="000352FF" w:rsidRPr="006672B1" w:rsidRDefault="000352FF" w:rsidP="392788E3">
            <w:pPr>
              <w:pStyle w:val="TableBullet"/>
              <w:rPr>
                <w:b/>
                <w:bCs/>
              </w:rPr>
            </w:pPr>
            <w:r w:rsidRPr="006672B1">
              <w:rPr>
                <w:b/>
                <w:bCs/>
              </w:rPr>
              <w:t>Technical Report T: Surface Water Impact Assessment</w:t>
            </w:r>
          </w:p>
        </w:tc>
      </w:tr>
      <w:tr w:rsidR="000352FF" w14:paraId="53B49BCE" w14:textId="682B1E6B" w:rsidTr="392788E3">
        <w:trPr>
          <w:cnfStyle w:val="000000010000" w:firstRow="0" w:lastRow="0" w:firstColumn="0" w:lastColumn="0" w:oddVBand="0" w:evenVBand="0" w:oddHBand="0" w:evenHBand="1" w:firstRowFirstColumn="0" w:firstRowLastColumn="0" w:lastRowFirstColumn="0" w:lastRowLastColumn="0"/>
          <w:trHeight w:val="1320"/>
        </w:trPr>
        <w:tc>
          <w:tcPr>
            <w:tcW w:w="5103" w:type="dxa"/>
          </w:tcPr>
          <w:p w14:paraId="6947D326" w14:textId="462A13F2" w:rsidR="000352FF" w:rsidRDefault="000352FF" w:rsidP="000352FF">
            <w:pPr>
              <w:pStyle w:val="TableText"/>
            </w:pPr>
            <w:r w:rsidRPr="00511D35">
              <w:t>Cultural heritage: Avoid, or minimise where avoidance is not possible, adverse effects on Aboriginal cultural heritage and historic heritage values.</w:t>
            </w:r>
          </w:p>
        </w:tc>
        <w:tc>
          <w:tcPr>
            <w:tcW w:w="4111" w:type="dxa"/>
          </w:tcPr>
          <w:p w14:paraId="1B6E496E" w14:textId="77777777" w:rsidR="000352FF" w:rsidRPr="00453BB7" w:rsidRDefault="000352FF" w:rsidP="000352FF">
            <w:pPr>
              <w:pStyle w:val="TableBullet"/>
              <w:rPr>
                <w:i/>
                <w:iCs/>
              </w:rPr>
            </w:pPr>
            <w:r w:rsidRPr="00453BB7">
              <w:rPr>
                <w:i/>
                <w:iCs/>
              </w:rPr>
              <w:t>Aboriginal Heritage Act 2006 (Vic)</w:t>
            </w:r>
          </w:p>
          <w:p w14:paraId="7103D301" w14:textId="77777777" w:rsidR="000352FF" w:rsidRPr="00453BB7" w:rsidRDefault="000352FF" w:rsidP="000352FF">
            <w:pPr>
              <w:pStyle w:val="TableBullet"/>
              <w:rPr>
                <w:i/>
                <w:iCs/>
              </w:rPr>
            </w:pPr>
            <w:r w:rsidRPr="00453BB7">
              <w:rPr>
                <w:i/>
                <w:iCs/>
              </w:rPr>
              <w:t>Heritage Act 2017 (Vic)</w:t>
            </w:r>
          </w:p>
          <w:p w14:paraId="3AC2C998" w14:textId="77777777" w:rsidR="000352FF" w:rsidRPr="00453BB7" w:rsidRDefault="000352FF" w:rsidP="000352FF">
            <w:pPr>
              <w:pStyle w:val="TableBullet"/>
              <w:rPr>
                <w:i/>
                <w:iCs/>
              </w:rPr>
            </w:pPr>
            <w:r w:rsidRPr="00453BB7">
              <w:rPr>
                <w:i/>
                <w:iCs/>
              </w:rPr>
              <w:t>Planning and Environment Act 1987 (Vic)</w:t>
            </w:r>
          </w:p>
          <w:p w14:paraId="5DBCAC5A" w14:textId="77777777" w:rsidR="000352FF" w:rsidRPr="00453BB7" w:rsidRDefault="000352FF" w:rsidP="000352FF">
            <w:pPr>
              <w:pStyle w:val="TableBullet"/>
              <w:rPr>
                <w:i/>
                <w:iCs/>
              </w:rPr>
            </w:pPr>
            <w:r w:rsidRPr="00453BB7">
              <w:rPr>
                <w:i/>
                <w:iCs/>
              </w:rPr>
              <w:t>Native Title Act 1993 (Cth)</w:t>
            </w:r>
          </w:p>
          <w:p w14:paraId="037C5424" w14:textId="2A2CD442" w:rsidR="000352FF" w:rsidRDefault="000352FF" w:rsidP="000352FF">
            <w:pPr>
              <w:pStyle w:val="TableBullet"/>
            </w:pPr>
            <w:r w:rsidRPr="00453BB7">
              <w:rPr>
                <w:i/>
                <w:iCs/>
              </w:rPr>
              <w:t>Traditional Owner Settlement Act 2010 (Vic)</w:t>
            </w:r>
          </w:p>
        </w:tc>
        <w:tc>
          <w:tcPr>
            <w:tcW w:w="4788" w:type="dxa"/>
          </w:tcPr>
          <w:p w14:paraId="47639316" w14:textId="77777777" w:rsidR="000352FF" w:rsidRPr="006672B1" w:rsidRDefault="000352FF" w:rsidP="392788E3">
            <w:pPr>
              <w:pStyle w:val="TableBullet"/>
              <w:rPr>
                <w:b/>
                <w:bCs/>
              </w:rPr>
            </w:pPr>
            <w:r w:rsidRPr="006672B1">
              <w:rPr>
                <w:b/>
                <w:bCs/>
              </w:rPr>
              <w:t>Chapter 9: Aboriginal cultural heritage</w:t>
            </w:r>
          </w:p>
          <w:p w14:paraId="520E7B4C" w14:textId="77777777" w:rsidR="000352FF" w:rsidRPr="006672B1" w:rsidRDefault="000352FF" w:rsidP="392788E3">
            <w:pPr>
              <w:pStyle w:val="TableBullet"/>
              <w:rPr>
                <w:b/>
                <w:bCs/>
              </w:rPr>
            </w:pPr>
            <w:r w:rsidRPr="006672B1">
              <w:rPr>
                <w:b/>
                <w:bCs/>
              </w:rPr>
              <w:t>Chapter 10: Historical heritage</w:t>
            </w:r>
          </w:p>
          <w:p w14:paraId="109CF751" w14:textId="77777777" w:rsidR="000352FF" w:rsidRPr="006672B1" w:rsidRDefault="000352FF" w:rsidP="392788E3">
            <w:pPr>
              <w:pStyle w:val="TableBullet"/>
              <w:rPr>
                <w:b/>
                <w:bCs/>
              </w:rPr>
            </w:pPr>
            <w:r w:rsidRPr="006672B1">
              <w:rPr>
                <w:b/>
                <w:bCs/>
              </w:rPr>
              <w:t>Technical Report B: Aboriginal Cultural Heritage Impact Assessment</w:t>
            </w:r>
          </w:p>
          <w:p w14:paraId="593ACE67" w14:textId="70C896B2" w:rsidR="000352FF" w:rsidRPr="006672B1" w:rsidRDefault="000352FF" w:rsidP="392788E3">
            <w:pPr>
              <w:pStyle w:val="TableBullet"/>
              <w:rPr>
                <w:b/>
                <w:bCs/>
              </w:rPr>
            </w:pPr>
            <w:r w:rsidRPr="006672B1">
              <w:rPr>
                <w:b/>
                <w:bCs/>
              </w:rPr>
              <w:t>Technical Report C: Historical Heritage Impact Assessment</w:t>
            </w:r>
          </w:p>
        </w:tc>
      </w:tr>
      <w:tr w:rsidR="000352FF" w14:paraId="23121859" w14:textId="400D35F6" w:rsidTr="392788E3">
        <w:trPr>
          <w:trHeight w:val="703"/>
        </w:trPr>
        <w:tc>
          <w:tcPr>
            <w:tcW w:w="5103" w:type="dxa"/>
          </w:tcPr>
          <w:p w14:paraId="52CA068D" w14:textId="574BFDA2" w:rsidR="000352FF" w:rsidRDefault="000352FF" w:rsidP="000352FF">
            <w:pPr>
              <w:pStyle w:val="TableText"/>
            </w:pPr>
            <w:r w:rsidRPr="00511D35">
              <w:t>Landscape and visual: Avoid, or minimise where avoidance is not possible, and manage potential adverse effects on landscape and visual amenity.</w:t>
            </w:r>
          </w:p>
        </w:tc>
        <w:tc>
          <w:tcPr>
            <w:tcW w:w="4111" w:type="dxa"/>
          </w:tcPr>
          <w:p w14:paraId="4D87B622" w14:textId="77777777" w:rsidR="000352FF" w:rsidRPr="00453BB7" w:rsidRDefault="000352FF" w:rsidP="000352FF">
            <w:pPr>
              <w:pStyle w:val="TableBullet"/>
              <w:rPr>
                <w:i/>
                <w:iCs/>
              </w:rPr>
            </w:pPr>
            <w:r w:rsidRPr="00453BB7">
              <w:rPr>
                <w:i/>
                <w:iCs/>
              </w:rPr>
              <w:t>Planning and Environment Act 1987 (Vic)</w:t>
            </w:r>
          </w:p>
          <w:p w14:paraId="6A631AFA" w14:textId="77777777" w:rsidR="000352FF" w:rsidRPr="00453BB7" w:rsidRDefault="000352FF" w:rsidP="000352FF">
            <w:pPr>
              <w:pStyle w:val="TableBullet"/>
              <w:rPr>
                <w:i/>
                <w:iCs/>
              </w:rPr>
            </w:pPr>
            <w:r w:rsidRPr="00453BB7">
              <w:rPr>
                <w:i/>
                <w:iCs/>
              </w:rPr>
              <w:t>Aboriginal Heritage Act 2006 (Vic)</w:t>
            </w:r>
          </w:p>
          <w:p w14:paraId="2B6A2B76" w14:textId="770EE6D9" w:rsidR="000352FF" w:rsidRDefault="000352FF" w:rsidP="000352FF">
            <w:pPr>
              <w:pStyle w:val="TableBullet"/>
            </w:pPr>
            <w:r w:rsidRPr="00453BB7">
              <w:rPr>
                <w:i/>
                <w:iCs/>
              </w:rPr>
              <w:t>Heritage Act 2017 (Vic)</w:t>
            </w:r>
          </w:p>
        </w:tc>
        <w:tc>
          <w:tcPr>
            <w:tcW w:w="4788" w:type="dxa"/>
          </w:tcPr>
          <w:p w14:paraId="1EFA4398" w14:textId="77777777" w:rsidR="000352FF" w:rsidRPr="006672B1" w:rsidRDefault="000352FF" w:rsidP="392788E3">
            <w:pPr>
              <w:pStyle w:val="TableBullet"/>
              <w:rPr>
                <w:b/>
                <w:bCs/>
              </w:rPr>
            </w:pPr>
            <w:r w:rsidRPr="006672B1">
              <w:rPr>
                <w:b/>
                <w:bCs/>
              </w:rPr>
              <w:t>Chapter 11: Landscape and visual</w:t>
            </w:r>
          </w:p>
          <w:p w14:paraId="55DBF176" w14:textId="01FFD5E5" w:rsidR="000352FF" w:rsidRPr="006672B1" w:rsidRDefault="000352FF" w:rsidP="392788E3">
            <w:pPr>
              <w:pStyle w:val="TableBullet"/>
              <w:rPr>
                <w:b/>
                <w:bCs/>
              </w:rPr>
            </w:pPr>
            <w:r w:rsidRPr="006672B1">
              <w:rPr>
                <w:b/>
                <w:bCs/>
              </w:rPr>
              <w:t>Technical Report D: Landscape and Visual Impact Assessment</w:t>
            </w:r>
          </w:p>
        </w:tc>
      </w:tr>
      <w:tr w:rsidR="000352FF" w14:paraId="46A03091" w14:textId="71CB2690" w:rsidTr="392788E3">
        <w:trPr>
          <w:cnfStyle w:val="000000010000" w:firstRow="0" w:lastRow="0" w:firstColumn="0" w:lastColumn="0" w:oddVBand="0" w:evenVBand="0" w:oddHBand="0" w:evenHBand="1" w:firstRowFirstColumn="0" w:firstRowLastColumn="0" w:lastRowFirstColumn="0" w:lastRowLastColumn="0"/>
          <w:trHeight w:val="1527"/>
        </w:trPr>
        <w:tc>
          <w:tcPr>
            <w:tcW w:w="5103" w:type="dxa"/>
          </w:tcPr>
          <w:p w14:paraId="083CD6F1" w14:textId="194E1E13" w:rsidR="000352FF" w:rsidRDefault="000352FF" w:rsidP="000352FF">
            <w:pPr>
              <w:pStyle w:val="TableText"/>
            </w:pPr>
            <w:r w:rsidRPr="00511D35">
              <w:t>Land use and socioeconomic: Avoid, or minimise where avoidance is not possible, adverse effects on land use, social fabric of the community, businesses including farming and tourism, local and state infrastructure, aviation safety and to affected and neighbouring landowners during construction and operation of the project.</w:t>
            </w:r>
          </w:p>
        </w:tc>
        <w:tc>
          <w:tcPr>
            <w:tcW w:w="4111" w:type="dxa"/>
          </w:tcPr>
          <w:p w14:paraId="3814835F" w14:textId="77777777" w:rsidR="000352FF" w:rsidRPr="00453BB7" w:rsidRDefault="000352FF" w:rsidP="000352FF">
            <w:pPr>
              <w:pStyle w:val="TableBullet"/>
              <w:rPr>
                <w:i/>
                <w:iCs/>
              </w:rPr>
            </w:pPr>
            <w:r w:rsidRPr="00453BB7">
              <w:rPr>
                <w:i/>
                <w:iCs/>
              </w:rPr>
              <w:t>Air Navigation Act 1920 (Cth)</w:t>
            </w:r>
          </w:p>
          <w:p w14:paraId="0600B599" w14:textId="77777777" w:rsidR="000352FF" w:rsidRPr="00453BB7" w:rsidRDefault="000352FF" w:rsidP="000352FF">
            <w:pPr>
              <w:pStyle w:val="TableBullet"/>
              <w:rPr>
                <w:i/>
                <w:iCs/>
              </w:rPr>
            </w:pPr>
            <w:r w:rsidRPr="00453BB7">
              <w:rPr>
                <w:i/>
                <w:iCs/>
              </w:rPr>
              <w:t>Civil Aviation Act 1988 (Cth)</w:t>
            </w:r>
          </w:p>
          <w:p w14:paraId="64435924" w14:textId="77777777" w:rsidR="000352FF" w:rsidRPr="00453BB7" w:rsidRDefault="000352FF" w:rsidP="000352FF">
            <w:pPr>
              <w:pStyle w:val="TableBullet"/>
              <w:rPr>
                <w:i/>
                <w:iCs/>
              </w:rPr>
            </w:pPr>
            <w:r w:rsidRPr="00453BB7">
              <w:rPr>
                <w:i/>
                <w:iCs/>
              </w:rPr>
              <w:t>Electrical Safety Act 1998 (Vic)</w:t>
            </w:r>
          </w:p>
          <w:p w14:paraId="06BF9A84" w14:textId="77777777" w:rsidR="000352FF" w:rsidRPr="00453BB7" w:rsidRDefault="000352FF" w:rsidP="000352FF">
            <w:pPr>
              <w:pStyle w:val="TableBullet"/>
              <w:rPr>
                <w:i/>
                <w:iCs/>
              </w:rPr>
            </w:pPr>
            <w:r w:rsidRPr="00453BB7">
              <w:rPr>
                <w:i/>
                <w:iCs/>
              </w:rPr>
              <w:t xml:space="preserve">Environment Protection Act 2017(Vic) </w:t>
            </w:r>
          </w:p>
          <w:p w14:paraId="7F9764A9" w14:textId="77777777" w:rsidR="000352FF" w:rsidRPr="00453BB7" w:rsidRDefault="000352FF" w:rsidP="000352FF">
            <w:pPr>
              <w:pStyle w:val="TableBullet"/>
              <w:rPr>
                <w:i/>
                <w:iCs/>
              </w:rPr>
            </w:pPr>
            <w:r w:rsidRPr="00453BB7">
              <w:rPr>
                <w:i/>
                <w:iCs/>
              </w:rPr>
              <w:t>Planning and Environment Act 1987 (Vic)</w:t>
            </w:r>
          </w:p>
          <w:p w14:paraId="6DFD95C3" w14:textId="77777777" w:rsidR="000352FF" w:rsidRPr="00453BB7" w:rsidRDefault="000352FF" w:rsidP="000352FF">
            <w:pPr>
              <w:pStyle w:val="TableBullet"/>
              <w:rPr>
                <w:i/>
                <w:iCs/>
              </w:rPr>
            </w:pPr>
            <w:r w:rsidRPr="00453BB7">
              <w:rPr>
                <w:i/>
                <w:iCs/>
              </w:rPr>
              <w:t>Transport Integration Act 2010 (Vic)</w:t>
            </w:r>
          </w:p>
          <w:p w14:paraId="3467491C" w14:textId="77777777" w:rsidR="000352FF" w:rsidRPr="00453BB7" w:rsidRDefault="000352FF" w:rsidP="000352FF">
            <w:pPr>
              <w:pStyle w:val="TableBullet"/>
              <w:rPr>
                <w:i/>
                <w:iCs/>
              </w:rPr>
            </w:pPr>
            <w:r w:rsidRPr="00453BB7">
              <w:rPr>
                <w:i/>
                <w:iCs/>
              </w:rPr>
              <w:t>Native Title Act 1993 (Cth)</w:t>
            </w:r>
          </w:p>
          <w:p w14:paraId="796C86F8" w14:textId="77777777" w:rsidR="000352FF" w:rsidRPr="00453BB7" w:rsidRDefault="000352FF" w:rsidP="000352FF">
            <w:pPr>
              <w:pStyle w:val="TableBullet"/>
              <w:rPr>
                <w:i/>
                <w:iCs/>
              </w:rPr>
            </w:pPr>
            <w:r w:rsidRPr="00453BB7">
              <w:rPr>
                <w:i/>
                <w:iCs/>
              </w:rPr>
              <w:t>Land Act 1958 (Vic)</w:t>
            </w:r>
          </w:p>
          <w:p w14:paraId="5382C317" w14:textId="77777777" w:rsidR="000352FF" w:rsidRPr="00453BB7" w:rsidRDefault="000352FF" w:rsidP="000352FF">
            <w:pPr>
              <w:pStyle w:val="TableBullet"/>
              <w:rPr>
                <w:i/>
                <w:iCs/>
              </w:rPr>
            </w:pPr>
            <w:r w:rsidRPr="00453BB7">
              <w:rPr>
                <w:i/>
                <w:iCs/>
              </w:rPr>
              <w:t>Crown Land (Reserves) Act 1978 (Vic)</w:t>
            </w:r>
          </w:p>
          <w:p w14:paraId="5A8331E1" w14:textId="77777777" w:rsidR="000352FF" w:rsidRPr="00453BB7" w:rsidRDefault="000352FF" w:rsidP="000352FF">
            <w:pPr>
              <w:pStyle w:val="TableBullet"/>
              <w:rPr>
                <w:i/>
                <w:iCs/>
              </w:rPr>
            </w:pPr>
            <w:r w:rsidRPr="00453BB7">
              <w:rPr>
                <w:i/>
                <w:iCs/>
              </w:rPr>
              <w:t>Forests Act 1958 (Vic)</w:t>
            </w:r>
          </w:p>
          <w:p w14:paraId="210E8F67" w14:textId="4F160F0C" w:rsidR="000352FF" w:rsidRDefault="000352FF" w:rsidP="00453BB7">
            <w:pPr>
              <w:pStyle w:val="TableBullet"/>
            </w:pPr>
            <w:r w:rsidRPr="00453BB7">
              <w:rPr>
                <w:i/>
                <w:iCs/>
              </w:rPr>
              <w:t>Land Acquisition and Compensation Act 1986 (Vic)</w:t>
            </w:r>
          </w:p>
        </w:tc>
        <w:tc>
          <w:tcPr>
            <w:tcW w:w="4788" w:type="dxa"/>
          </w:tcPr>
          <w:p w14:paraId="5595B487" w14:textId="77777777" w:rsidR="000352FF" w:rsidRPr="006672B1" w:rsidRDefault="000352FF" w:rsidP="392788E3">
            <w:pPr>
              <w:pStyle w:val="TableBullet"/>
              <w:rPr>
                <w:b/>
                <w:bCs/>
              </w:rPr>
            </w:pPr>
            <w:r w:rsidRPr="006672B1">
              <w:rPr>
                <w:b/>
                <w:bCs/>
              </w:rPr>
              <w:t>Chapter 12: Land use and planning</w:t>
            </w:r>
          </w:p>
          <w:p w14:paraId="6B3B94AE" w14:textId="77777777" w:rsidR="000352FF" w:rsidRPr="006672B1" w:rsidRDefault="000352FF" w:rsidP="392788E3">
            <w:pPr>
              <w:pStyle w:val="TableBullet"/>
              <w:rPr>
                <w:b/>
                <w:bCs/>
              </w:rPr>
            </w:pPr>
            <w:r w:rsidRPr="006672B1">
              <w:rPr>
                <w:b/>
                <w:bCs/>
              </w:rPr>
              <w:t xml:space="preserve">Chapter 14: Economic </w:t>
            </w:r>
          </w:p>
          <w:p w14:paraId="67C3B7CB" w14:textId="77777777" w:rsidR="000352FF" w:rsidRPr="006672B1" w:rsidRDefault="000352FF" w:rsidP="392788E3">
            <w:pPr>
              <w:pStyle w:val="TableBullet"/>
              <w:rPr>
                <w:b/>
                <w:bCs/>
              </w:rPr>
            </w:pPr>
            <w:r w:rsidRPr="006672B1">
              <w:rPr>
                <w:b/>
                <w:bCs/>
              </w:rPr>
              <w:t>Chapter 15: Agriculture and forestry</w:t>
            </w:r>
          </w:p>
          <w:p w14:paraId="5A6EC5D4" w14:textId="77777777" w:rsidR="000352FF" w:rsidRPr="006672B1" w:rsidRDefault="000352FF" w:rsidP="392788E3">
            <w:pPr>
              <w:pStyle w:val="TableBullet"/>
              <w:rPr>
                <w:b/>
                <w:bCs/>
              </w:rPr>
            </w:pPr>
            <w:r w:rsidRPr="006672B1">
              <w:rPr>
                <w:b/>
                <w:bCs/>
              </w:rPr>
              <w:t>Chapter 16: Aviation</w:t>
            </w:r>
          </w:p>
          <w:p w14:paraId="66A8431C" w14:textId="77777777" w:rsidR="000352FF" w:rsidRPr="006672B1" w:rsidRDefault="000352FF" w:rsidP="392788E3">
            <w:pPr>
              <w:pStyle w:val="TableBullet"/>
              <w:rPr>
                <w:b/>
                <w:bCs/>
              </w:rPr>
            </w:pPr>
            <w:r w:rsidRPr="006672B1">
              <w:rPr>
                <w:b/>
                <w:bCs/>
              </w:rPr>
              <w:t xml:space="preserve">Chapter 21: Social </w:t>
            </w:r>
          </w:p>
          <w:p w14:paraId="602374FE" w14:textId="77777777" w:rsidR="000352FF" w:rsidRPr="006672B1" w:rsidRDefault="000352FF" w:rsidP="392788E3">
            <w:pPr>
              <w:pStyle w:val="TableBullet"/>
              <w:rPr>
                <w:b/>
                <w:bCs/>
              </w:rPr>
            </w:pPr>
            <w:r w:rsidRPr="006672B1">
              <w:rPr>
                <w:b/>
                <w:bCs/>
              </w:rPr>
              <w:t>Technical Report E: Land Use and Planning Impact Assessment</w:t>
            </w:r>
          </w:p>
          <w:p w14:paraId="4B4C1CB9" w14:textId="77777777" w:rsidR="000352FF" w:rsidRPr="006672B1" w:rsidRDefault="000352FF" w:rsidP="392788E3">
            <w:pPr>
              <w:pStyle w:val="TableBullet"/>
              <w:rPr>
                <w:b/>
                <w:bCs/>
              </w:rPr>
            </w:pPr>
            <w:r w:rsidRPr="006672B1">
              <w:rPr>
                <w:b/>
                <w:bCs/>
              </w:rPr>
              <w:t>Technical Report F: Social Impact Assessment</w:t>
            </w:r>
          </w:p>
          <w:p w14:paraId="41F6C6FD" w14:textId="77777777" w:rsidR="000352FF" w:rsidRPr="006672B1" w:rsidRDefault="000352FF" w:rsidP="392788E3">
            <w:pPr>
              <w:pStyle w:val="TableBullet"/>
              <w:rPr>
                <w:b/>
                <w:bCs/>
              </w:rPr>
            </w:pPr>
            <w:r w:rsidRPr="006672B1">
              <w:rPr>
                <w:b/>
                <w:bCs/>
              </w:rPr>
              <w:t>Technical Report G: Economic Impact Assessment</w:t>
            </w:r>
          </w:p>
          <w:p w14:paraId="333CB353" w14:textId="77777777" w:rsidR="000352FF" w:rsidRPr="006672B1" w:rsidRDefault="000352FF" w:rsidP="392788E3">
            <w:pPr>
              <w:pStyle w:val="TableBullet"/>
              <w:rPr>
                <w:b/>
                <w:bCs/>
              </w:rPr>
            </w:pPr>
            <w:r w:rsidRPr="006672B1">
              <w:rPr>
                <w:b/>
                <w:bCs/>
              </w:rPr>
              <w:t>Technical Report H: Agriculture and Forestry Impact Assessment</w:t>
            </w:r>
          </w:p>
          <w:p w14:paraId="3AB841B5" w14:textId="77777777" w:rsidR="000352FF" w:rsidRPr="006672B1" w:rsidRDefault="000352FF" w:rsidP="392788E3">
            <w:pPr>
              <w:pStyle w:val="TableBullet"/>
              <w:rPr>
                <w:b/>
                <w:bCs/>
              </w:rPr>
            </w:pPr>
            <w:r w:rsidRPr="006672B1">
              <w:rPr>
                <w:b/>
                <w:bCs/>
              </w:rPr>
              <w:t>Technical Report J: Aviation Impact Assessment</w:t>
            </w:r>
          </w:p>
          <w:p w14:paraId="49BD8C54" w14:textId="77777777" w:rsidR="000352FF" w:rsidRPr="006672B1" w:rsidRDefault="000352FF" w:rsidP="392788E3">
            <w:pPr>
              <w:pStyle w:val="TableBullet"/>
              <w:rPr>
                <w:b/>
                <w:bCs/>
              </w:rPr>
            </w:pPr>
            <w:r w:rsidRPr="006672B1">
              <w:rPr>
                <w:b/>
                <w:bCs/>
              </w:rPr>
              <w:t>Technical Report Q: Geology and Soils Impact Assessment</w:t>
            </w:r>
          </w:p>
          <w:p w14:paraId="19935555" w14:textId="07BD489D" w:rsidR="000352FF" w:rsidRPr="006672B1" w:rsidRDefault="000352FF" w:rsidP="392788E3">
            <w:pPr>
              <w:pStyle w:val="TableBullet"/>
              <w:rPr>
                <w:b/>
                <w:bCs/>
              </w:rPr>
            </w:pPr>
            <w:r w:rsidRPr="006672B1">
              <w:rPr>
                <w:b/>
                <w:bCs/>
              </w:rPr>
              <w:t>Technical Report R: Contaminated Land Impact Assessment</w:t>
            </w:r>
          </w:p>
        </w:tc>
      </w:tr>
      <w:tr w:rsidR="000352FF" w14:paraId="26471942" w14:textId="443D4A76" w:rsidTr="392788E3">
        <w:trPr>
          <w:trHeight w:val="3969"/>
        </w:trPr>
        <w:tc>
          <w:tcPr>
            <w:tcW w:w="5103" w:type="dxa"/>
          </w:tcPr>
          <w:p w14:paraId="0A7415D4" w14:textId="497B1C82" w:rsidR="000352FF" w:rsidRDefault="000352FF" w:rsidP="000352FF">
            <w:pPr>
              <w:pStyle w:val="TableText"/>
            </w:pPr>
            <w:r w:rsidRPr="00E51DAE">
              <w:lastRenderedPageBreak/>
              <w:t>Community amenity, safety roads and transport: Avoid, or minimise where avoidance is not possible, adverse effects for community amenity, health and safety, with regard to construction noise, vibration, dust, lighting, waste, greenhouse gas emissions, transport network, operational noise, fire risk management and electromagnetic radiation.</w:t>
            </w:r>
          </w:p>
        </w:tc>
        <w:tc>
          <w:tcPr>
            <w:tcW w:w="4111" w:type="dxa"/>
          </w:tcPr>
          <w:p w14:paraId="714287E2" w14:textId="77777777" w:rsidR="000352FF" w:rsidRPr="00453BB7" w:rsidRDefault="000352FF" w:rsidP="000352FF">
            <w:pPr>
              <w:pStyle w:val="TableBullet"/>
              <w:rPr>
                <w:i/>
                <w:iCs/>
              </w:rPr>
            </w:pPr>
            <w:r w:rsidRPr="00453BB7">
              <w:rPr>
                <w:i/>
                <w:iCs/>
              </w:rPr>
              <w:t>Climate Change Act 2017 (Vic)</w:t>
            </w:r>
          </w:p>
          <w:p w14:paraId="2063D680" w14:textId="77777777" w:rsidR="000352FF" w:rsidRPr="00453BB7" w:rsidRDefault="000352FF" w:rsidP="000352FF">
            <w:pPr>
              <w:pStyle w:val="TableBullet"/>
              <w:rPr>
                <w:i/>
                <w:iCs/>
              </w:rPr>
            </w:pPr>
            <w:r w:rsidRPr="00453BB7">
              <w:rPr>
                <w:i/>
                <w:iCs/>
              </w:rPr>
              <w:t>Country Fire Authority Act 1958 (Vic)</w:t>
            </w:r>
          </w:p>
          <w:p w14:paraId="3128A778" w14:textId="77777777" w:rsidR="000352FF" w:rsidRPr="00453BB7" w:rsidRDefault="000352FF" w:rsidP="000352FF">
            <w:pPr>
              <w:pStyle w:val="TableBullet"/>
              <w:rPr>
                <w:i/>
                <w:iCs/>
              </w:rPr>
            </w:pPr>
            <w:r w:rsidRPr="00453BB7">
              <w:rPr>
                <w:i/>
                <w:iCs/>
              </w:rPr>
              <w:t>Environment Protection Act 2017 (Vic)</w:t>
            </w:r>
          </w:p>
          <w:p w14:paraId="7FAD7E8E" w14:textId="77777777" w:rsidR="000352FF" w:rsidRPr="00453BB7" w:rsidRDefault="000352FF" w:rsidP="000352FF">
            <w:pPr>
              <w:pStyle w:val="TableBullet"/>
              <w:rPr>
                <w:i/>
                <w:iCs/>
              </w:rPr>
            </w:pPr>
            <w:r w:rsidRPr="00453BB7">
              <w:rPr>
                <w:i/>
                <w:iCs/>
              </w:rPr>
              <w:t>Occupational Health and Safety Act 2004 (Vic)</w:t>
            </w:r>
          </w:p>
          <w:p w14:paraId="3DDD173B" w14:textId="77777777" w:rsidR="000352FF" w:rsidRPr="00453BB7" w:rsidRDefault="000352FF" w:rsidP="000352FF">
            <w:pPr>
              <w:pStyle w:val="TableBullet"/>
              <w:rPr>
                <w:i/>
                <w:iCs/>
              </w:rPr>
            </w:pPr>
            <w:r w:rsidRPr="00453BB7">
              <w:rPr>
                <w:i/>
                <w:iCs/>
              </w:rPr>
              <w:t xml:space="preserve">Planning and Environment Act 1987 (Vic) </w:t>
            </w:r>
          </w:p>
          <w:p w14:paraId="65D0FFD5" w14:textId="77777777" w:rsidR="000352FF" w:rsidRPr="00453BB7" w:rsidRDefault="000352FF" w:rsidP="000352FF">
            <w:pPr>
              <w:pStyle w:val="TableBullet"/>
              <w:rPr>
                <w:i/>
                <w:iCs/>
              </w:rPr>
            </w:pPr>
            <w:r w:rsidRPr="00453BB7">
              <w:rPr>
                <w:i/>
                <w:iCs/>
              </w:rPr>
              <w:t>Public Health and Wellbeing Act 2008 (Vic)</w:t>
            </w:r>
          </w:p>
          <w:p w14:paraId="1DF38092" w14:textId="77777777" w:rsidR="000352FF" w:rsidRPr="00453BB7" w:rsidRDefault="000352FF" w:rsidP="000352FF">
            <w:pPr>
              <w:pStyle w:val="TableBullet"/>
              <w:rPr>
                <w:i/>
                <w:iCs/>
              </w:rPr>
            </w:pPr>
            <w:r w:rsidRPr="00453BB7">
              <w:rPr>
                <w:i/>
                <w:iCs/>
              </w:rPr>
              <w:t>Rail Management Act 1996 (Vic)</w:t>
            </w:r>
          </w:p>
          <w:p w14:paraId="219833FD" w14:textId="77777777" w:rsidR="000352FF" w:rsidRPr="00453BB7" w:rsidRDefault="000352FF" w:rsidP="000352FF">
            <w:pPr>
              <w:pStyle w:val="TableBullet"/>
              <w:rPr>
                <w:i/>
                <w:iCs/>
              </w:rPr>
            </w:pPr>
            <w:r w:rsidRPr="00453BB7">
              <w:rPr>
                <w:i/>
                <w:iCs/>
              </w:rPr>
              <w:t>Road Management Act 2004 (Vic)</w:t>
            </w:r>
          </w:p>
          <w:p w14:paraId="670F274E" w14:textId="77777777" w:rsidR="000352FF" w:rsidRPr="00453BB7" w:rsidRDefault="000352FF" w:rsidP="000352FF">
            <w:pPr>
              <w:pStyle w:val="TableBullet"/>
              <w:rPr>
                <w:i/>
                <w:iCs/>
              </w:rPr>
            </w:pPr>
            <w:r w:rsidRPr="00453BB7">
              <w:rPr>
                <w:i/>
                <w:iCs/>
              </w:rPr>
              <w:t>Road Safety Act 1986 (Vic)</w:t>
            </w:r>
          </w:p>
          <w:p w14:paraId="4B63D698" w14:textId="77777777" w:rsidR="000352FF" w:rsidRPr="00453BB7" w:rsidRDefault="000352FF" w:rsidP="000352FF">
            <w:pPr>
              <w:pStyle w:val="TableBullet"/>
              <w:rPr>
                <w:i/>
                <w:iCs/>
              </w:rPr>
            </w:pPr>
            <w:r w:rsidRPr="00453BB7">
              <w:rPr>
                <w:i/>
                <w:iCs/>
              </w:rPr>
              <w:t>Transport Integration Act 2010 (Vic)</w:t>
            </w:r>
          </w:p>
          <w:p w14:paraId="22760FC1" w14:textId="502C5757" w:rsidR="000352FF" w:rsidRDefault="000352FF" w:rsidP="000352FF">
            <w:pPr>
              <w:pStyle w:val="TableBullet"/>
            </w:pPr>
            <w:r w:rsidRPr="00453BB7">
              <w:rPr>
                <w:i/>
                <w:iCs/>
              </w:rPr>
              <w:t>Work Health and Safety Act 2011 (Cth)</w:t>
            </w:r>
          </w:p>
        </w:tc>
        <w:tc>
          <w:tcPr>
            <w:tcW w:w="4788" w:type="dxa"/>
          </w:tcPr>
          <w:p w14:paraId="67C3ABB0" w14:textId="77777777" w:rsidR="000352FF" w:rsidRPr="006672B1" w:rsidRDefault="000352FF" w:rsidP="392788E3">
            <w:pPr>
              <w:pStyle w:val="TableBullet"/>
              <w:rPr>
                <w:b/>
                <w:bCs/>
              </w:rPr>
            </w:pPr>
            <w:r w:rsidRPr="006672B1">
              <w:rPr>
                <w:b/>
                <w:bCs/>
              </w:rPr>
              <w:t>Chapter 13: Bushfire</w:t>
            </w:r>
          </w:p>
          <w:p w14:paraId="589E6104" w14:textId="77777777" w:rsidR="000352FF" w:rsidRPr="006672B1" w:rsidRDefault="000352FF" w:rsidP="392788E3">
            <w:pPr>
              <w:pStyle w:val="TableBullet"/>
              <w:rPr>
                <w:b/>
                <w:bCs/>
              </w:rPr>
            </w:pPr>
            <w:r w:rsidRPr="006672B1">
              <w:rPr>
                <w:b/>
                <w:bCs/>
              </w:rPr>
              <w:t>Chapter 17: EMI and EMF</w:t>
            </w:r>
          </w:p>
          <w:p w14:paraId="4EFCCDBD" w14:textId="77777777" w:rsidR="000352FF" w:rsidRPr="006672B1" w:rsidRDefault="000352FF" w:rsidP="392788E3">
            <w:pPr>
              <w:pStyle w:val="TableBullet"/>
              <w:rPr>
                <w:b/>
                <w:bCs/>
              </w:rPr>
            </w:pPr>
            <w:r w:rsidRPr="006672B1">
              <w:rPr>
                <w:b/>
                <w:bCs/>
              </w:rPr>
              <w:t>Chapter 18: Air quality</w:t>
            </w:r>
          </w:p>
          <w:p w14:paraId="536DAC18" w14:textId="77777777" w:rsidR="000352FF" w:rsidRPr="006672B1" w:rsidRDefault="000352FF" w:rsidP="392788E3">
            <w:pPr>
              <w:pStyle w:val="TableBullet"/>
              <w:rPr>
                <w:b/>
                <w:bCs/>
              </w:rPr>
            </w:pPr>
            <w:r w:rsidRPr="006672B1">
              <w:rPr>
                <w:b/>
                <w:bCs/>
              </w:rPr>
              <w:t>Chapter 19: Noise and vibration</w:t>
            </w:r>
          </w:p>
          <w:p w14:paraId="316FE5CB" w14:textId="77777777" w:rsidR="000352FF" w:rsidRPr="006672B1" w:rsidRDefault="000352FF" w:rsidP="392788E3">
            <w:pPr>
              <w:pStyle w:val="TableBullet"/>
              <w:rPr>
                <w:b/>
                <w:bCs/>
              </w:rPr>
            </w:pPr>
            <w:r w:rsidRPr="006672B1">
              <w:rPr>
                <w:b/>
                <w:bCs/>
              </w:rPr>
              <w:t>Chapter 20: Transport</w:t>
            </w:r>
          </w:p>
          <w:p w14:paraId="2CCF64C1" w14:textId="77777777" w:rsidR="000352FF" w:rsidRPr="006672B1" w:rsidRDefault="000352FF" w:rsidP="392788E3">
            <w:pPr>
              <w:pStyle w:val="TableBullet"/>
              <w:rPr>
                <w:b/>
                <w:bCs/>
              </w:rPr>
            </w:pPr>
            <w:r w:rsidRPr="006672B1">
              <w:rPr>
                <w:b/>
                <w:bCs/>
              </w:rPr>
              <w:t>Technical Report D: Landscape and Visual Impact Assessment</w:t>
            </w:r>
          </w:p>
          <w:p w14:paraId="2B5908F2" w14:textId="77777777" w:rsidR="000352FF" w:rsidRPr="006672B1" w:rsidRDefault="000352FF" w:rsidP="392788E3">
            <w:pPr>
              <w:pStyle w:val="TableBullet"/>
              <w:rPr>
                <w:b/>
                <w:bCs/>
              </w:rPr>
            </w:pPr>
            <w:r w:rsidRPr="006672B1">
              <w:rPr>
                <w:b/>
                <w:bCs/>
              </w:rPr>
              <w:t>Technical Report F: Social Impact Assessment</w:t>
            </w:r>
          </w:p>
          <w:p w14:paraId="11B8F4AC" w14:textId="77777777" w:rsidR="000352FF" w:rsidRPr="006672B1" w:rsidRDefault="000352FF" w:rsidP="392788E3">
            <w:pPr>
              <w:pStyle w:val="TableBullet"/>
              <w:rPr>
                <w:b/>
                <w:bCs/>
              </w:rPr>
            </w:pPr>
            <w:r w:rsidRPr="006672B1">
              <w:rPr>
                <w:b/>
                <w:bCs/>
              </w:rPr>
              <w:t>Technical Report I: Air Quality Impact Assessment</w:t>
            </w:r>
          </w:p>
          <w:p w14:paraId="7F8F2C45" w14:textId="77777777" w:rsidR="000352FF" w:rsidRPr="006672B1" w:rsidRDefault="000352FF" w:rsidP="392788E3">
            <w:pPr>
              <w:pStyle w:val="TableBullet"/>
              <w:rPr>
                <w:b/>
                <w:bCs/>
              </w:rPr>
            </w:pPr>
            <w:r w:rsidRPr="006672B1">
              <w:rPr>
                <w:b/>
                <w:bCs/>
              </w:rPr>
              <w:t>Technical Report K: Bushfire Impact Assessment</w:t>
            </w:r>
          </w:p>
          <w:p w14:paraId="32A23F57" w14:textId="77777777" w:rsidR="000352FF" w:rsidRPr="006672B1" w:rsidRDefault="000352FF" w:rsidP="392788E3">
            <w:pPr>
              <w:pStyle w:val="TableBullet"/>
              <w:rPr>
                <w:b/>
                <w:bCs/>
              </w:rPr>
            </w:pPr>
            <w:r w:rsidRPr="006672B1">
              <w:rPr>
                <w:b/>
                <w:bCs/>
              </w:rPr>
              <w:t>Technical Report L: EMI and EMF Impact Assessment</w:t>
            </w:r>
          </w:p>
          <w:p w14:paraId="1564B237" w14:textId="77777777" w:rsidR="000352FF" w:rsidRPr="006672B1" w:rsidRDefault="000352FF" w:rsidP="392788E3">
            <w:pPr>
              <w:pStyle w:val="TableBullet"/>
              <w:rPr>
                <w:b/>
                <w:bCs/>
              </w:rPr>
            </w:pPr>
            <w:r w:rsidRPr="006672B1">
              <w:rPr>
                <w:b/>
                <w:bCs/>
              </w:rPr>
              <w:t>Technical Report M: Greenhouse Gas Impact Assessment</w:t>
            </w:r>
          </w:p>
          <w:p w14:paraId="5315B801" w14:textId="77777777" w:rsidR="000352FF" w:rsidRPr="006672B1" w:rsidRDefault="000352FF" w:rsidP="392788E3">
            <w:pPr>
              <w:pStyle w:val="TableBullet"/>
              <w:rPr>
                <w:b/>
                <w:bCs/>
              </w:rPr>
            </w:pPr>
            <w:r w:rsidRPr="006672B1">
              <w:rPr>
                <w:b/>
                <w:bCs/>
              </w:rPr>
              <w:t>Technical Report N: Climate Change Assessment</w:t>
            </w:r>
          </w:p>
          <w:p w14:paraId="0340D7E8" w14:textId="77777777" w:rsidR="000352FF" w:rsidRPr="006672B1" w:rsidRDefault="000352FF" w:rsidP="392788E3">
            <w:pPr>
              <w:pStyle w:val="TableBullet"/>
              <w:rPr>
                <w:b/>
                <w:bCs/>
              </w:rPr>
            </w:pPr>
            <w:r w:rsidRPr="006672B1">
              <w:rPr>
                <w:b/>
                <w:bCs/>
              </w:rPr>
              <w:t>Technical Report O: Noise and Vibration Impact Assessment</w:t>
            </w:r>
          </w:p>
          <w:p w14:paraId="7E5E6DA0" w14:textId="69A79514" w:rsidR="000352FF" w:rsidRPr="006672B1" w:rsidRDefault="000352FF" w:rsidP="392788E3">
            <w:pPr>
              <w:pStyle w:val="TableBullet"/>
              <w:rPr>
                <w:b/>
                <w:bCs/>
              </w:rPr>
            </w:pPr>
            <w:r w:rsidRPr="006672B1">
              <w:rPr>
                <w:b/>
                <w:bCs/>
              </w:rPr>
              <w:t>Technical Report P: Transport Impact Assessment</w:t>
            </w:r>
          </w:p>
        </w:tc>
      </w:tr>
      <w:tr w:rsidR="000352FF" w14:paraId="5CA26CEF" w14:textId="77777777" w:rsidTr="392788E3">
        <w:trPr>
          <w:cnfStyle w:val="000000010000" w:firstRow="0" w:lastRow="0" w:firstColumn="0" w:lastColumn="0" w:oddVBand="0" w:evenVBand="0" w:oddHBand="0" w:evenHBand="1" w:firstRowFirstColumn="0" w:firstRowLastColumn="0" w:lastRowFirstColumn="0" w:lastRowLastColumn="0"/>
          <w:trHeight w:val="3759"/>
        </w:trPr>
        <w:tc>
          <w:tcPr>
            <w:tcW w:w="5103" w:type="dxa"/>
          </w:tcPr>
          <w:p w14:paraId="364E16FC" w14:textId="13017D8C" w:rsidR="000352FF" w:rsidRDefault="000352FF" w:rsidP="000352FF">
            <w:pPr>
              <w:pStyle w:val="TableText"/>
            </w:pPr>
            <w:r w:rsidRPr="00E51DAE">
              <w:t>Catchment values and hydrology: Maintain the functions and values of aquatic environments, surface water and groundwater quality and stream flows and prevent adverse effects on protected beneficial uses.</w:t>
            </w:r>
          </w:p>
        </w:tc>
        <w:tc>
          <w:tcPr>
            <w:tcW w:w="4111" w:type="dxa"/>
          </w:tcPr>
          <w:p w14:paraId="792C5521" w14:textId="77777777" w:rsidR="000352FF" w:rsidRPr="00453BB7" w:rsidRDefault="000352FF" w:rsidP="000352FF">
            <w:pPr>
              <w:pStyle w:val="TableBullet"/>
              <w:rPr>
                <w:i/>
                <w:iCs/>
              </w:rPr>
            </w:pPr>
            <w:r w:rsidRPr="00453BB7">
              <w:rPr>
                <w:i/>
                <w:iCs/>
              </w:rPr>
              <w:t>Catchment and Land Protection Act 1994 (Vic)</w:t>
            </w:r>
          </w:p>
          <w:p w14:paraId="34CAD3DE" w14:textId="77777777" w:rsidR="000352FF" w:rsidRPr="00453BB7" w:rsidRDefault="000352FF" w:rsidP="000352FF">
            <w:pPr>
              <w:pStyle w:val="TableBullet"/>
              <w:rPr>
                <w:i/>
                <w:iCs/>
              </w:rPr>
            </w:pPr>
            <w:r w:rsidRPr="00453BB7">
              <w:rPr>
                <w:i/>
                <w:iCs/>
              </w:rPr>
              <w:t>Environment Protection Act 2017 (Vic)</w:t>
            </w:r>
          </w:p>
          <w:p w14:paraId="642EAF4F" w14:textId="77777777" w:rsidR="000352FF" w:rsidRPr="00453BB7" w:rsidRDefault="000352FF" w:rsidP="000352FF">
            <w:pPr>
              <w:pStyle w:val="TableBullet"/>
              <w:rPr>
                <w:i/>
                <w:iCs/>
              </w:rPr>
            </w:pPr>
            <w:r w:rsidRPr="00453BB7">
              <w:rPr>
                <w:i/>
                <w:iCs/>
              </w:rPr>
              <w:t>Environment Protection and Biodiversity Conservation Act 1999 (Cth)</w:t>
            </w:r>
          </w:p>
          <w:p w14:paraId="6E08445C" w14:textId="77777777" w:rsidR="000352FF" w:rsidRPr="00453BB7" w:rsidRDefault="000352FF" w:rsidP="000352FF">
            <w:pPr>
              <w:pStyle w:val="TableBullet"/>
              <w:rPr>
                <w:i/>
                <w:iCs/>
              </w:rPr>
            </w:pPr>
            <w:r w:rsidRPr="00453BB7">
              <w:rPr>
                <w:i/>
                <w:iCs/>
              </w:rPr>
              <w:t>Flora and Fauna Guarantee Act 1988 (Vic)</w:t>
            </w:r>
          </w:p>
          <w:p w14:paraId="4E337562" w14:textId="77777777" w:rsidR="000352FF" w:rsidRPr="00453BB7" w:rsidRDefault="000352FF" w:rsidP="000352FF">
            <w:pPr>
              <w:pStyle w:val="TableBullet"/>
              <w:rPr>
                <w:i/>
                <w:iCs/>
              </w:rPr>
            </w:pPr>
            <w:r w:rsidRPr="00453BB7">
              <w:rPr>
                <w:i/>
                <w:iCs/>
              </w:rPr>
              <w:t xml:space="preserve">Planning and Environment Act 1987 (Vic) </w:t>
            </w:r>
          </w:p>
          <w:p w14:paraId="272B0319" w14:textId="77777777" w:rsidR="000352FF" w:rsidRPr="00453BB7" w:rsidRDefault="000352FF" w:rsidP="000352FF">
            <w:pPr>
              <w:pStyle w:val="TableBullet"/>
              <w:rPr>
                <w:i/>
                <w:iCs/>
              </w:rPr>
            </w:pPr>
            <w:r w:rsidRPr="00453BB7">
              <w:rPr>
                <w:i/>
                <w:iCs/>
              </w:rPr>
              <w:t>Water Act 1989 (Vic)</w:t>
            </w:r>
          </w:p>
          <w:p w14:paraId="6CD4904B" w14:textId="3822AF66" w:rsidR="000352FF" w:rsidRDefault="000352FF" w:rsidP="000352FF">
            <w:pPr>
              <w:pStyle w:val="TableBullet"/>
            </w:pPr>
            <w:r w:rsidRPr="00453BB7">
              <w:rPr>
                <w:i/>
                <w:iCs/>
              </w:rPr>
              <w:t>Safe Drinking Water Act 2003 (Vic)</w:t>
            </w:r>
          </w:p>
        </w:tc>
        <w:tc>
          <w:tcPr>
            <w:tcW w:w="4788" w:type="dxa"/>
          </w:tcPr>
          <w:p w14:paraId="5284B69F" w14:textId="77777777" w:rsidR="000352FF" w:rsidRPr="006672B1" w:rsidRDefault="000352FF" w:rsidP="392788E3">
            <w:pPr>
              <w:pStyle w:val="TableBullet"/>
              <w:rPr>
                <w:b/>
                <w:bCs/>
              </w:rPr>
            </w:pPr>
            <w:r w:rsidRPr="006672B1">
              <w:rPr>
                <w:b/>
                <w:bCs/>
              </w:rPr>
              <w:t>Chapter 22: Geology and soils</w:t>
            </w:r>
          </w:p>
          <w:p w14:paraId="485ECE39" w14:textId="77777777" w:rsidR="000352FF" w:rsidRPr="006672B1" w:rsidRDefault="000352FF" w:rsidP="392788E3">
            <w:pPr>
              <w:pStyle w:val="TableBullet"/>
              <w:rPr>
                <w:b/>
                <w:bCs/>
              </w:rPr>
            </w:pPr>
            <w:r w:rsidRPr="006672B1">
              <w:rPr>
                <w:b/>
                <w:bCs/>
              </w:rPr>
              <w:t>Chapter 23 Contaminated land</w:t>
            </w:r>
          </w:p>
          <w:p w14:paraId="781A4016" w14:textId="77777777" w:rsidR="000352FF" w:rsidRPr="006672B1" w:rsidRDefault="000352FF" w:rsidP="392788E3">
            <w:pPr>
              <w:pStyle w:val="TableBullet"/>
              <w:rPr>
                <w:b/>
                <w:bCs/>
              </w:rPr>
            </w:pPr>
            <w:r w:rsidRPr="006672B1">
              <w:rPr>
                <w:b/>
                <w:bCs/>
              </w:rPr>
              <w:t xml:space="preserve">Chapter 24: Groundwater </w:t>
            </w:r>
          </w:p>
          <w:p w14:paraId="221994F7" w14:textId="77777777" w:rsidR="000352FF" w:rsidRPr="006672B1" w:rsidRDefault="000352FF" w:rsidP="392788E3">
            <w:pPr>
              <w:pStyle w:val="TableBullet"/>
              <w:rPr>
                <w:b/>
                <w:bCs/>
              </w:rPr>
            </w:pPr>
            <w:r w:rsidRPr="006672B1">
              <w:rPr>
                <w:b/>
                <w:bCs/>
              </w:rPr>
              <w:t>Chapter 25: Surface water</w:t>
            </w:r>
          </w:p>
          <w:p w14:paraId="4A747CB4" w14:textId="77777777" w:rsidR="000352FF" w:rsidRPr="006672B1" w:rsidRDefault="000352FF" w:rsidP="392788E3">
            <w:pPr>
              <w:pStyle w:val="TableBullet"/>
              <w:rPr>
                <w:b/>
                <w:bCs/>
              </w:rPr>
            </w:pPr>
            <w:r w:rsidRPr="006672B1">
              <w:rPr>
                <w:b/>
                <w:bCs/>
              </w:rPr>
              <w:t>Chapter 14: Catchment Values and Water</w:t>
            </w:r>
          </w:p>
          <w:p w14:paraId="71E0EF56" w14:textId="77777777" w:rsidR="000352FF" w:rsidRPr="006672B1" w:rsidRDefault="000352FF" w:rsidP="392788E3">
            <w:pPr>
              <w:pStyle w:val="TableBullet"/>
              <w:rPr>
                <w:b/>
                <w:bCs/>
              </w:rPr>
            </w:pPr>
            <w:r w:rsidRPr="006672B1">
              <w:rPr>
                <w:b/>
                <w:bCs/>
              </w:rPr>
              <w:t>Technical Report Q: Geology and Soils Impact Assessment</w:t>
            </w:r>
          </w:p>
          <w:p w14:paraId="5D4AB04D" w14:textId="77777777" w:rsidR="000352FF" w:rsidRPr="006672B1" w:rsidRDefault="000352FF" w:rsidP="392788E3">
            <w:pPr>
              <w:pStyle w:val="TableBullet"/>
              <w:rPr>
                <w:b/>
                <w:bCs/>
              </w:rPr>
            </w:pPr>
            <w:r w:rsidRPr="006672B1">
              <w:rPr>
                <w:b/>
                <w:bCs/>
              </w:rPr>
              <w:t>Technical Report R: Contaminated Land Impact Assessment</w:t>
            </w:r>
          </w:p>
          <w:p w14:paraId="155A4FC5" w14:textId="77777777" w:rsidR="000352FF" w:rsidRPr="006672B1" w:rsidRDefault="000352FF" w:rsidP="392788E3">
            <w:pPr>
              <w:pStyle w:val="TableBullet"/>
              <w:rPr>
                <w:b/>
                <w:bCs/>
              </w:rPr>
            </w:pPr>
            <w:r w:rsidRPr="006672B1">
              <w:rPr>
                <w:b/>
                <w:bCs/>
              </w:rPr>
              <w:t>Technical Report S: Groundwater Impact Assessment</w:t>
            </w:r>
          </w:p>
          <w:p w14:paraId="31B089C7" w14:textId="44B2EB38" w:rsidR="000352FF" w:rsidRPr="006672B1" w:rsidRDefault="000352FF" w:rsidP="392788E3">
            <w:pPr>
              <w:pStyle w:val="TableBullet"/>
              <w:rPr>
                <w:b/>
                <w:bCs/>
              </w:rPr>
            </w:pPr>
            <w:r w:rsidRPr="006672B1">
              <w:rPr>
                <w:b/>
                <w:bCs/>
              </w:rPr>
              <w:t>Technical Report T: Surface Water Impact Assessment</w:t>
            </w:r>
          </w:p>
        </w:tc>
      </w:tr>
    </w:tbl>
    <w:p w14:paraId="07724B6F" w14:textId="77777777" w:rsidR="000352FF" w:rsidRDefault="000352FF" w:rsidP="000352FF">
      <w:pPr>
        <w:sectPr w:rsidR="000352FF" w:rsidSect="00A03B48">
          <w:footnotePr>
            <w:numFmt w:val="chicago"/>
            <w:numRestart w:val="eachPage"/>
          </w:footnotePr>
          <w:pgSz w:w="16838" w:h="11906" w:orient="landscape" w:code="9"/>
          <w:pgMar w:top="1418" w:right="1418" w:bottom="1418" w:left="1418" w:header="1134" w:footer="340" w:gutter="0"/>
          <w:pgNumType w:chapStyle="1"/>
          <w:cols w:space="708"/>
          <w:docGrid w:linePitch="360"/>
        </w:sectPr>
      </w:pPr>
    </w:p>
    <w:p w14:paraId="7EE45B0F" w14:textId="215B17EA" w:rsidR="000352FF" w:rsidRDefault="000352FF" w:rsidP="00986843">
      <w:pPr>
        <w:pStyle w:val="Heading2"/>
      </w:pPr>
      <w:r>
        <w:lastRenderedPageBreak/>
        <w:t>Assessment approach</w:t>
      </w:r>
    </w:p>
    <w:p w14:paraId="3923E6B2" w14:textId="14ECD8C2" w:rsidR="000352FF" w:rsidRDefault="000352FF" w:rsidP="007942E1">
      <w:pPr>
        <w:spacing w:after="240"/>
      </w:pPr>
      <w:r w:rsidRPr="000352FF">
        <w:t xml:space="preserve">The key elements of the EES assessment framework include establishing existing conditions and environmental values, identifying key issues and risks through risk screening, engaging with communities and stakeholders, carrying out an impact assessment, assessing potential cumulative impacts, and preparing an Environmental Management Framework. This process is depicted in </w:t>
      </w:r>
      <w:r w:rsidR="004D149C">
        <w:fldChar w:fldCharType="begin"/>
      </w:r>
      <w:r w:rsidR="004D149C">
        <w:instrText xml:space="preserve"> REF _Ref197943445 \h </w:instrText>
      </w:r>
      <w:r w:rsidR="004D149C">
        <w:fldChar w:fldCharType="separate"/>
      </w:r>
      <w:r w:rsidR="004D149C">
        <w:t xml:space="preserve">Figure </w:t>
      </w:r>
      <w:r w:rsidR="004D149C">
        <w:rPr>
          <w:noProof/>
        </w:rPr>
        <w:t>4</w:t>
      </w:r>
      <w:r w:rsidR="004D149C">
        <w:t>.</w:t>
      </w:r>
      <w:r w:rsidR="004D149C">
        <w:rPr>
          <w:noProof/>
        </w:rPr>
        <w:t>2</w:t>
      </w:r>
      <w:r w:rsidR="004D149C">
        <w:fldChar w:fldCharType="end"/>
      </w:r>
      <w:r w:rsidRPr="000352FF">
        <w:t>.</w:t>
      </w:r>
    </w:p>
    <w:p w14:paraId="2B23F1E3" w14:textId="77777777" w:rsidR="000352FF" w:rsidRDefault="000352FF" w:rsidP="000352FF">
      <w:pPr>
        <w:keepNext/>
      </w:pPr>
      <w:r>
        <w:rPr>
          <w:noProof/>
        </w:rPr>
        <w:drawing>
          <wp:inline distT="0" distB="0" distL="0" distR="0" wp14:anchorId="5448FCF2" wp14:editId="2067EF43">
            <wp:extent cx="5759450" cy="2838680"/>
            <wp:effectExtent l="0" t="0" r="0" b="0"/>
            <wp:docPr id="115742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42924" name=""/>
                    <pic:cNvPicPr/>
                  </pic:nvPicPr>
                  <pic:blipFill>
                    <a:blip r:embed="rId19"/>
                    <a:stretch>
                      <a:fillRect/>
                    </a:stretch>
                  </pic:blipFill>
                  <pic:spPr>
                    <a:xfrm>
                      <a:off x="0" y="0"/>
                      <a:ext cx="5759450" cy="2838680"/>
                    </a:xfrm>
                    <a:prstGeom prst="rect">
                      <a:avLst/>
                    </a:prstGeom>
                  </pic:spPr>
                </pic:pic>
              </a:graphicData>
            </a:graphic>
          </wp:inline>
        </w:drawing>
      </w:r>
    </w:p>
    <w:p w14:paraId="5C054836" w14:textId="47B393C2" w:rsidR="000352FF" w:rsidRDefault="000352FF" w:rsidP="006B1FEE">
      <w:pPr>
        <w:pStyle w:val="Caption"/>
        <w:spacing w:before="240" w:after="240"/>
      </w:pPr>
      <w:bookmarkStart w:id="3" w:name="_Ref197943445"/>
      <w:r>
        <w:t xml:space="preserve">Figure </w:t>
      </w:r>
      <w:r>
        <w:fldChar w:fldCharType="begin"/>
      </w:r>
      <w:r>
        <w:instrText>STYLEREF 1 \s</w:instrText>
      </w:r>
      <w:r>
        <w:fldChar w:fldCharType="separate"/>
      </w:r>
      <w:r w:rsidR="00137B7B">
        <w:rPr>
          <w:noProof/>
        </w:rPr>
        <w:t>4</w:t>
      </w:r>
      <w:r>
        <w:fldChar w:fldCharType="end"/>
      </w:r>
      <w:r w:rsidR="00137B7B">
        <w:t>.</w:t>
      </w:r>
      <w:r>
        <w:fldChar w:fldCharType="begin"/>
      </w:r>
      <w:r>
        <w:instrText>SEQ Figure \* ARABIC \s 1</w:instrText>
      </w:r>
      <w:r>
        <w:fldChar w:fldCharType="separate"/>
      </w:r>
      <w:r w:rsidR="00137B7B">
        <w:rPr>
          <w:noProof/>
        </w:rPr>
        <w:t>2</w:t>
      </w:r>
      <w:r>
        <w:fldChar w:fldCharType="end"/>
      </w:r>
      <w:bookmarkEnd w:id="3"/>
      <w:r>
        <w:t xml:space="preserve"> Impact assessment process</w:t>
      </w:r>
    </w:p>
    <w:p w14:paraId="4C81AA28" w14:textId="557E0DD4" w:rsidR="000352FF" w:rsidRDefault="000352FF" w:rsidP="000352FF">
      <w:pPr>
        <w:pStyle w:val="Heading3"/>
      </w:pPr>
      <w:r>
        <w:t>Performance based approach</w:t>
      </w:r>
    </w:p>
    <w:p w14:paraId="55563C0A" w14:textId="28731943" w:rsidR="000352FF" w:rsidRDefault="000352FF" w:rsidP="000352FF">
      <w:r>
        <w:t>The Project has sought to avoid potential impacts through the selection of the preferred corridor, Proposed Route, and design development whilst meeting the objectives of the Project (</w:t>
      </w:r>
      <w:r w:rsidRPr="000352FF">
        <w:rPr>
          <w:b/>
          <w:bCs/>
        </w:rPr>
        <w:t>Chapter 5: Project development</w:t>
      </w:r>
      <w:r>
        <w:t xml:space="preserve"> and </w:t>
      </w:r>
      <w:r w:rsidRPr="000352FF">
        <w:rPr>
          <w:b/>
          <w:bCs/>
        </w:rPr>
        <w:t>Chapter 6: Project description</w:t>
      </w:r>
      <w:r>
        <w:t>). The technical reports have assessed the Project’s potential impacts and identified where further mitigation is required to reduce impacts. In order to encourage innovation and allow for the best outcomes for the Project, a performance-based approach to finalising the project design, delivery approach and environmental mitigation measures has been adopted through the development of EPRs.</w:t>
      </w:r>
    </w:p>
    <w:p w14:paraId="684A2DC9" w14:textId="77777777" w:rsidR="000352FF" w:rsidRDefault="000352FF" w:rsidP="000352FF">
      <w:r>
        <w:t xml:space="preserve">The EPRs set out the environmental outcomes to be achieved through the implementation of mitigation measures during construction, operation and decommissioning. While some EPRs are performance based to allow flexibility in how they will be achieved, other EPRs include more prescriptive measures that must be implemented. </w:t>
      </w:r>
    </w:p>
    <w:p w14:paraId="58253368" w14:textId="71492919" w:rsidR="000352FF" w:rsidRDefault="000352FF" w:rsidP="000352FF">
      <w:r>
        <w:t>This approach encourages innovation as it allows for flexibility in how outcomes are achieved, regardless of the final design of the Project. The Principal Contractor and AusNet can determine the best way to achieve EPRs and manage impacts, which allows design solutions and construction methods to be optimised. In developing EPRs, technical specialists have considered industry standards and guidelines, good practice and the latest approaches to mitigating impacts.</w:t>
      </w:r>
    </w:p>
    <w:p w14:paraId="2ECADDC7" w14:textId="4EDABA58" w:rsidR="000352FF" w:rsidRDefault="000352FF" w:rsidP="000352FF">
      <w:pPr>
        <w:pStyle w:val="Heading3"/>
      </w:pPr>
      <w:r>
        <w:t>Project description</w:t>
      </w:r>
    </w:p>
    <w:p w14:paraId="5669C73A" w14:textId="77777777" w:rsidR="000352FF" w:rsidRDefault="000352FF" w:rsidP="000352FF">
      <w:r>
        <w:t xml:space="preserve">The Project description, comprising the Proposed Route, key elements (e.g., transmission towers and terminal stations) and construction methodology, was developed to allow specialists to identify and assess the potential human health and environmental effects of the Project for the EES (see </w:t>
      </w:r>
      <w:r w:rsidRPr="000352FF">
        <w:rPr>
          <w:b/>
          <w:bCs/>
        </w:rPr>
        <w:t>Chapter 6: Project description</w:t>
      </w:r>
      <w:r>
        <w:t>).</w:t>
      </w:r>
    </w:p>
    <w:p w14:paraId="330CEEC9" w14:textId="77777777" w:rsidR="000352FF" w:rsidRDefault="000352FF" w:rsidP="009104E9">
      <w:pPr>
        <w:keepNext/>
        <w:keepLines/>
      </w:pPr>
      <w:r>
        <w:lastRenderedPageBreak/>
        <w:t xml:space="preserve">To develop the Project, AusNet sought early input from Traditional Owners, the community, Councils, non-government organisations and government agencies on key issues such as community values, energy transmission issues and renewable energy projects planned in western Victoria. This engagement informed the investigation of corridor options, alternative routes (see </w:t>
      </w:r>
      <w:r w:rsidRPr="000352FF">
        <w:rPr>
          <w:b/>
          <w:bCs/>
        </w:rPr>
        <w:t>Attachment I: Project development</w:t>
      </w:r>
      <w:r>
        <w:t xml:space="preserve"> </w:t>
      </w:r>
      <w:r w:rsidRPr="000352FF">
        <w:rPr>
          <w:b/>
          <w:bCs/>
        </w:rPr>
        <w:t>and assessment of alternatives</w:t>
      </w:r>
      <w:r>
        <w:t xml:space="preserve"> and </w:t>
      </w:r>
      <w:r w:rsidRPr="000352FF">
        <w:rPr>
          <w:b/>
          <w:bCs/>
        </w:rPr>
        <w:t>Attachment II: Assessment of feasibility for an underground 500kV transmission line for Western Renewables Link</w:t>
      </w:r>
      <w:r>
        <w:t xml:space="preserve">) and guided the overall development of the Proposed Route. The Project development process is described in </w:t>
      </w:r>
      <w:r w:rsidRPr="000352FF">
        <w:rPr>
          <w:b/>
          <w:bCs/>
        </w:rPr>
        <w:t>Chapter 5: Project development</w:t>
      </w:r>
      <w:r>
        <w:t>.</w:t>
      </w:r>
    </w:p>
    <w:p w14:paraId="1039B391" w14:textId="12317262" w:rsidR="000352FF" w:rsidRDefault="000352FF" w:rsidP="000352FF">
      <w:r>
        <w:t>The Project’s design evolved and was refined throughout the impact assessment process, enabling it to adapt and respond to identified issues, including changes to the design, construction method or implementation of feasible Project alternatives. This iterative process occurred in parallel with the EES assessment process to produce the design assessed by the EES.</w:t>
      </w:r>
    </w:p>
    <w:p w14:paraId="11353203" w14:textId="77777777" w:rsidR="00DC42C3" w:rsidRDefault="00DC42C3" w:rsidP="000A7FFB">
      <w:pPr>
        <w:pStyle w:val="Call-outboxHeadingwithicon"/>
        <w:framePr w:w="3554" w:h="2884" w:hRule="exact" w:wrap="around" w:hAnchor="page" w:x="6872" w:y="78"/>
      </w:pPr>
      <w:r>
        <w:br/>
        <w:t>Existing conditions</w:t>
      </w:r>
    </w:p>
    <w:p w14:paraId="40CC683E" w14:textId="77777777" w:rsidR="00DC42C3" w:rsidRPr="000352FF" w:rsidRDefault="00DC42C3" w:rsidP="000A7FFB">
      <w:pPr>
        <w:pStyle w:val="Call-outbox"/>
        <w:framePr w:w="3554" w:h="2884" w:hRule="exact" w:wrap="around" w:hAnchor="page" w:x="6872" w:y="78"/>
      </w:pPr>
      <w:r w:rsidRPr="000352FF">
        <w:t>The existing conditions characterise the current condition and values of the physical, biological and social environment. The existing conditions form the baseline against which the impacts are measured.</w:t>
      </w:r>
    </w:p>
    <w:p w14:paraId="79EA15D7" w14:textId="0D1B8643" w:rsidR="000352FF" w:rsidRDefault="000352FF" w:rsidP="000352FF">
      <w:pPr>
        <w:pStyle w:val="Heading3"/>
      </w:pPr>
      <w:r>
        <w:t>Existing conditions</w:t>
      </w:r>
    </w:p>
    <w:p w14:paraId="7F3E58B2" w14:textId="77777777" w:rsidR="000352FF" w:rsidRDefault="000352FF" w:rsidP="009357F8">
      <w:pPr>
        <w:ind w:right="3685"/>
      </w:pPr>
      <w:r>
        <w:t xml:space="preserve">The EES scoping requirements state that the EES must describe the ‘existing environment’ in the area potentially affected by the Project. This involves characterising the existing condition of the environment, namely the assets, values and uses of the environment and sensitive receptors within that environment. This is a crucial step as these existing conditions form the baseline and identify the values which the Project could potentially impact. </w:t>
      </w:r>
    </w:p>
    <w:p w14:paraId="15DD9C1A" w14:textId="77777777" w:rsidR="000352FF" w:rsidRDefault="000352FF" w:rsidP="000352FF">
      <w:r>
        <w:t>Each EES technical report identifies the existing conditions relevant to that discipline.</w:t>
      </w:r>
    </w:p>
    <w:p w14:paraId="71BA5999" w14:textId="77777777" w:rsidR="000352FF" w:rsidRDefault="000352FF" w:rsidP="000352FF">
      <w:r>
        <w:t>The study area for the existing conditions was different for each EES technical report. The study area provides the extent that is needed by each technical discipline from which to assess if an impact could occur and its significance. It also reflects the differences in the extent of risks for each discipline. In some cases, this area extended beyond the Project Area. For example, the existing conditions for aviation considered the flight paths to airports outside of the Project Area.</w:t>
      </w:r>
    </w:p>
    <w:p w14:paraId="67B3D1DB" w14:textId="150C3FB7" w:rsidR="000352FF" w:rsidRDefault="000352FF" w:rsidP="000352FF">
      <w:pPr>
        <w:rPr>
          <w:b/>
          <w:bCs/>
        </w:rPr>
      </w:pPr>
      <w:r>
        <w:t>The existing conditions are summarised within each technical chapter (</w:t>
      </w:r>
      <w:r w:rsidRPr="000352FF">
        <w:rPr>
          <w:b/>
          <w:bCs/>
        </w:rPr>
        <w:t>Chapter 8 to 28</w:t>
      </w:r>
      <w:r>
        <w:t xml:space="preserve">) and the detail can be found in </w:t>
      </w:r>
      <w:r w:rsidRPr="000352FF">
        <w:rPr>
          <w:b/>
          <w:bCs/>
        </w:rPr>
        <w:t>Technical Report A to T.</w:t>
      </w:r>
    </w:p>
    <w:p w14:paraId="3A66FD68" w14:textId="7CE347AF" w:rsidR="000352FF" w:rsidRDefault="000352FF" w:rsidP="000352FF">
      <w:pPr>
        <w:pStyle w:val="Heading3"/>
      </w:pPr>
      <w:r>
        <w:t>Environmental values</w:t>
      </w:r>
    </w:p>
    <w:p w14:paraId="1F5A1FBB" w14:textId="42012CFD" w:rsidR="000352FF" w:rsidRDefault="000352FF" w:rsidP="000352FF">
      <w:r>
        <w:t xml:space="preserve">The Ministerial guidelines for assessment of environmental effects under the </w:t>
      </w:r>
      <w:r w:rsidRPr="5A85784C">
        <w:rPr>
          <w:i/>
          <w:iCs/>
        </w:rPr>
        <w:t>Environment Effects Act 1978 (Vic),</w:t>
      </w:r>
      <w:r>
        <w:t xml:space="preserve"> Eighth edition, 2023 (DTP</w:t>
      </w:r>
      <w:r w:rsidR="00942DC3">
        <w:t>,</w:t>
      </w:r>
      <w:r>
        <w:t xml:space="preserve"> 2023</w:t>
      </w:r>
      <w:r w:rsidR="00861B16">
        <w:t>b</w:t>
      </w:r>
      <w:r>
        <w:t>)</w:t>
      </w:r>
      <w:r w:rsidR="3C429ADA">
        <w:t xml:space="preserve"> (Ministerial Guidelines)</w:t>
      </w:r>
      <w:r>
        <w:t xml:space="preserve"> define the ‘environment’ to be the physical, biological, heritage, cultural, social, health, safety and economic aspects of human surroundings, including the wider ecological and physical systems within which humans live. </w:t>
      </w:r>
    </w:p>
    <w:p w14:paraId="1F5925A0" w14:textId="5F7FF8F6" w:rsidR="000352FF" w:rsidRDefault="000352FF" w:rsidP="000352FF">
      <w:r>
        <w:t>For the Project, environmental values are defined as:</w:t>
      </w:r>
    </w:p>
    <w:p w14:paraId="5C12C59E" w14:textId="77777777" w:rsidR="000352FF" w:rsidRDefault="000352FF" w:rsidP="000352FF">
      <w:pPr>
        <w:pStyle w:val="ListBullet"/>
      </w:pPr>
      <w:r>
        <w:t>A quality or physical characteristic of the environment important to ecological health, cultural value, public benefit, amenity, safety or human health</w:t>
      </w:r>
    </w:p>
    <w:p w14:paraId="57342BA5" w14:textId="77777777" w:rsidR="000352FF" w:rsidRDefault="000352FF" w:rsidP="000352FF">
      <w:pPr>
        <w:pStyle w:val="ListBullet"/>
      </w:pPr>
      <w:r>
        <w:t>A quality, feature or use identified and declared to be of biological, physical, socioeconomic or cultural value under a statutory policy or regulation.</w:t>
      </w:r>
    </w:p>
    <w:p w14:paraId="0B6C4C60" w14:textId="3F8E9CC5" w:rsidR="000352FF" w:rsidRDefault="000352FF" w:rsidP="000352FF">
      <w:r w:rsidRPr="000352FF">
        <w:t>The technical specialists adopted environmental values set out in statutory policies or regulations. Where not provided, values are identified using professional experience, accepted practice and / or input from key stakeholders. The environmental values are identified within each technical report.</w:t>
      </w:r>
    </w:p>
    <w:p w14:paraId="18FFD349" w14:textId="181B02BB" w:rsidR="000352FF" w:rsidRDefault="000352FF" w:rsidP="008D7517">
      <w:pPr>
        <w:pStyle w:val="Heading3"/>
      </w:pPr>
      <w:r>
        <w:lastRenderedPageBreak/>
        <w:t xml:space="preserve">Risk screening </w:t>
      </w:r>
    </w:p>
    <w:p w14:paraId="58B5D2D8" w14:textId="0C372179" w:rsidR="000352FF" w:rsidRDefault="000352FF" w:rsidP="008D7517">
      <w:pPr>
        <w:keepNext/>
        <w:keepLines/>
      </w:pPr>
      <w:r>
        <w:t>Based on the findings of the existing conditions, a risk screening process was conducted by each technical specialist to identify the key issues during construction, operation and decommissioning. This process informed development of the scope and method and defining the extent of the impact assessment for each technical report as outlined in Section</w:t>
      </w:r>
      <w:r w:rsidR="009E25BD">
        <w:t xml:space="preserve"> 4</w:t>
      </w:r>
      <w:r>
        <w:t xml:space="preserve"> of the scoping requirements.</w:t>
      </w:r>
    </w:p>
    <w:p w14:paraId="13B958D8" w14:textId="250E6498" w:rsidR="000352FF" w:rsidRDefault="000352FF" w:rsidP="009357F8">
      <w:pPr>
        <w:keepNext/>
        <w:keepLines/>
        <w:ind w:right="4139"/>
      </w:pPr>
      <w:r>
        <w:t>The Project’s environmental risk screening process followed AS ISO 31000: 2018 Risk Management – Guidelines, an Australian standard that provides guidance on managing risk faced by organisations. The</w:t>
      </w:r>
      <w:r w:rsidR="009357F8">
        <w:t> </w:t>
      </w:r>
      <w:r>
        <w:t>risk screening process:</w:t>
      </w:r>
    </w:p>
    <w:p w14:paraId="0A03D39B" w14:textId="77777777" w:rsidR="000352FF" w:rsidRDefault="000352FF" w:rsidP="009357F8">
      <w:pPr>
        <w:pStyle w:val="ListBullet"/>
        <w:keepNext/>
        <w:keepLines/>
        <w:ind w:right="4139"/>
      </w:pPr>
      <w:r>
        <w:t>Identifies environmental, social and economic risks associated with the design, construction, operation and decommissioning of the Project</w:t>
      </w:r>
    </w:p>
    <w:p w14:paraId="4FD991DD" w14:textId="77777777" w:rsidR="000352FF" w:rsidRDefault="000352FF" w:rsidP="009357F8">
      <w:pPr>
        <w:pStyle w:val="ListBullet"/>
        <w:ind w:right="4139"/>
      </w:pPr>
      <w:r>
        <w:t>Facilitates a consistent approach to identifying and considering risks across all technical reports</w:t>
      </w:r>
    </w:p>
    <w:p w14:paraId="68BD99BC" w14:textId="77777777" w:rsidR="000352FF" w:rsidRDefault="000352FF" w:rsidP="009357F8">
      <w:pPr>
        <w:pStyle w:val="ListBullet"/>
        <w:ind w:right="4139"/>
      </w:pPr>
      <w:r>
        <w:t xml:space="preserve">Facilitates a proportionate level of investigation to the relative environmental risk. </w:t>
      </w:r>
    </w:p>
    <w:p w14:paraId="642DDE3E" w14:textId="77777777" w:rsidR="009357F8" w:rsidRDefault="009357F8" w:rsidP="009357F8">
      <w:pPr>
        <w:pStyle w:val="Call-outboxHeadingwithicon"/>
        <w:framePr w:w="4055" w:h="5667" w:hRule="exact" w:wrap="around" w:hAnchor="page" w:x="6459" w:y="-3602"/>
      </w:pPr>
      <w:r>
        <w:br/>
        <w:t>Risk and impact</w:t>
      </w:r>
    </w:p>
    <w:p w14:paraId="4EB3CD6F" w14:textId="77777777" w:rsidR="009357F8" w:rsidRDefault="009357F8" w:rsidP="009357F8">
      <w:pPr>
        <w:pStyle w:val="Call-outbox"/>
        <w:framePr w:w="4055" w:h="5667" w:hRule="exact" w:wrap="around" w:hAnchor="page" w:x="6459" w:y="-3602"/>
        <w:spacing w:after="120"/>
      </w:pPr>
      <w:r>
        <w:t>Preparation of the EES and the necessary investigation of effects should be proportional to the environmental risk, as outlined in the Ministerial Guidelines (p. 9): “A risk-based approach should be adopted in the assessment of environmental effects. Suitably intensive methods should be applied to accurately assess matters that pose relatively high risk of significant adverse effects and to guide the design of strategies to manage those risks.”</w:t>
      </w:r>
    </w:p>
    <w:p w14:paraId="62DCFE27" w14:textId="77777777" w:rsidR="009357F8" w:rsidRDefault="009357F8" w:rsidP="009357F8">
      <w:pPr>
        <w:pStyle w:val="Call-outbox"/>
        <w:framePr w:w="4055" w:h="5667" w:hRule="exact" w:wrap="around" w:hAnchor="page" w:x="6459" w:y="-3602"/>
        <w:spacing w:after="120"/>
      </w:pPr>
      <w:r>
        <w:t xml:space="preserve">‘Risk’ is a function of the likelihood of an adverse ‘event’ occurring, and the consequence of the event. </w:t>
      </w:r>
    </w:p>
    <w:p w14:paraId="530F0E69" w14:textId="77777777" w:rsidR="009357F8" w:rsidRPr="000352FF" w:rsidRDefault="009357F8" w:rsidP="009357F8">
      <w:pPr>
        <w:pStyle w:val="Call-outbox"/>
        <w:framePr w:w="4055" w:h="5667" w:hRule="exact" w:wrap="around" w:hAnchor="page" w:x="6459" w:y="-3602"/>
        <w:spacing w:after="240"/>
      </w:pPr>
      <w:r>
        <w:t>‘Impact’ relates to the outcome of an event in relation to sensitive values and uses.</w:t>
      </w:r>
    </w:p>
    <w:p w14:paraId="0E029FF9" w14:textId="7BD05102" w:rsidR="00DC42C3" w:rsidRDefault="000352FF" w:rsidP="009357F8">
      <w:pPr>
        <w:spacing w:after="240"/>
        <w:ind w:right="4139"/>
      </w:pPr>
      <w:r w:rsidRPr="000352FF">
        <w:t>The risk screening involved describing each risk, identifying standard controls and assigning likelihood and consequence ratings, resulting in an initial risk rating. The likelihood and consequence criteria for the risk assessment were informed by the AusNet Health, Safety and Environment (HSE) Risk Assessment Framework. Discipline-specific consequence criteria were also considered by each technical specialist</w:t>
      </w:r>
      <w:r>
        <w:t>.</w:t>
      </w:r>
    </w:p>
    <w:p w14:paraId="5F4C1987" w14:textId="66C9FD2C" w:rsidR="000352FF" w:rsidRDefault="000352FF" w:rsidP="00DC42C3">
      <w:pPr>
        <w:pStyle w:val="Heading3"/>
        <w:spacing w:before="360"/>
      </w:pPr>
      <w:r>
        <w:t>Impact assessment</w:t>
      </w:r>
    </w:p>
    <w:p w14:paraId="7CD422DA" w14:textId="3ED22D7E" w:rsidR="000352FF" w:rsidRDefault="000352FF" w:rsidP="000352FF">
      <w:r>
        <w:t>An impact is defined as a change to the environment resulting from the construction, operation and/or decommissioning of the Project. Impacts can be direct or indirect, and positive or negative. Cumulative impact can also occur due to other major projects occurring in the same location or timeframe as the project being assessed.</w:t>
      </w:r>
    </w:p>
    <w:p w14:paraId="714A131B" w14:textId="77777777" w:rsidR="000352FF" w:rsidRDefault="000352FF" w:rsidP="000352FF">
      <w:r>
        <w:t>The nature and extent of the impact is measured against the existing conditions by evaluating the significance, considering mitigation measures both before and after application.</w:t>
      </w:r>
    </w:p>
    <w:p w14:paraId="41CBF436" w14:textId="31D6347B" w:rsidR="000352FF" w:rsidRDefault="000352FF" w:rsidP="000352FF">
      <w:r>
        <w:t xml:space="preserve">The approach for the cumulative impact assessment is described in Section </w:t>
      </w:r>
      <w:r w:rsidR="009E25BD">
        <w:fldChar w:fldCharType="begin"/>
      </w:r>
      <w:r w:rsidR="009E25BD">
        <w:instrText xml:space="preserve"> REF _Ref197944243 \r \h </w:instrText>
      </w:r>
      <w:r w:rsidR="009E25BD">
        <w:fldChar w:fldCharType="separate"/>
      </w:r>
      <w:r w:rsidR="009E25BD">
        <w:t>4.3.7</w:t>
      </w:r>
      <w:r w:rsidR="009E25BD">
        <w:fldChar w:fldCharType="end"/>
      </w:r>
      <w:r>
        <w:t>.</w:t>
      </w:r>
    </w:p>
    <w:p w14:paraId="5F4A542C" w14:textId="486489C4" w:rsidR="000352FF" w:rsidRDefault="000352FF" w:rsidP="008D7517">
      <w:pPr>
        <w:spacing w:after="120"/>
      </w:pPr>
      <w:r>
        <w:t>The definition of ‘significance’ of an impact for each technical report is provided in each of the EES technical reports. However, for consistency across all technical reports, the following factors have been considered when determining the significance of potential environmental impacts:</w:t>
      </w:r>
    </w:p>
    <w:p w14:paraId="62C55348" w14:textId="77777777" w:rsidR="000352FF" w:rsidRDefault="000352FF" w:rsidP="008D7517">
      <w:pPr>
        <w:pStyle w:val="ListBullet"/>
        <w:spacing w:after="120"/>
      </w:pPr>
      <w:r>
        <w:t>Sensitivity of the environmental values potentially affected (e.g., character, occurrence, values, importance)</w:t>
      </w:r>
    </w:p>
    <w:p w14:paraId="4718DE1A" w14:textId="77777777" w:rsidR="000352FF" w:rsidRDefault="000352FF" w:rsidP="008D7517">
      <w:pPr>
        <w:pStyle w:val="ListBullet"/>
        <w:spacing w:after="120"/>
      </w:pPr>
      <w:r>
        <w:t>Magnitude, extent, and duration of impact on identified environmental values</w:t>
      </w:r>
    </w:p>
    <w:p w14:paraId="200D6955" w14:textId="411C7B7C" w:rsidR="000352FF" w:rsidRDefault="000352FF" w:rsidP="008D7517">
      <w:pPr>
        <w:pStyle w:val="ListBullet"/>
        <w:spacing w:after="120"/>
      </w:pPr>
      <w:r>
        <w:t xml:space="preserve">Existing activities (e.g., existing projects or relevant future projects) that when considered together with the Project could give rise to a cumulative impact on the same environmental values (see Section </w:t>
      </w:r>
      <w:r w:rsidR="009E25BD">
        <w:fldChar w:fldCharType="begin"/>
      </w:r>
      <w:r w:rsidR="009E25BD">
        <w:instrText xml:space="preserve"> REF _Ref197944252 \r \h </w:instrText>
      </w:r>
      <w:r w:rsidR="009E25BD">
        <w:fldChar w:fldCharType="separate"/>
      </w:r>
      <w:r w:rsidR="009E25BD">
        <w:t>4.3.7</w:t>
      </w:r>
      <w:r w:rsidR="009E25BD">
        <w:fldChar w:fldCharType="end"/>
      </w:r>
      <w:r>
        <w:t>)</w:t>
      </w:r>
    </w:p>
    <w:p w14:paraId="3D8EAC35" w14:textId="77777777" w:rsidR="000352FF" w:rsidRDefault="000352FF" w:rsidP="008D7517">
      <w:pPr>
        <w:pStyle w:val="ListBullet"/>
        <w:spacing w:after="120"/>
      </w:pPr>
      <w:r>
        <w:t>Benchmarks and standards set by statutory planning and environmental requirements and approvals and consents</w:t>
      </w:r>
    </w:p>
    <w:p w14:paraId="25714E4A" w14:textId="77777777" w:rsidR="000352FF" w:rsidRDefault="000352FF" w:rsidP="008D7517">
      <w:pPr>
        <w:pStyle w:val="ListBullet"/>
        <w:spacing w:after="120"/>
      </w:pPr>
      <w:r>
        <w:t>The policies and guidelines that apply to the Project</w:t>
      </w:r>
    </w:p>
    <w:p w14:paraId="1AB5E39B" w14:textId="77777777" w:rsidR="000352FF" w:rsidRPr="000352FF" w:rsidRDefault="000352FF" w:rsidP="008D7517">
      <w:pPr>
        <w:pStyle w:val="ListBullet"/>
        <w:spacing w:after="120"/>
      </w:pPr>
      <w:r w:rsidRPr="000352FF">
        <w:t>The likely effectiveness of measures to avoid, minimise and/or manage the magnitude, extent or duration of the impact.</w:t>
      </w:r>
    </w:p>
    <w:p w14:paraId="3DDB2C3A" w14:textId="2EBCDD3D" w:rsidR="000352FF" w:rsidRDefault="000352FF" w:rsidP="00DC42C3">
      <w:pPr>
        <w:keepNext/>
        <w:keepLines/>
      </w:pPr>
      <w:r w:rsidRPr="000352FF">
        <w:lastRenderedPageBreak/>
        <w:t>The EES technical reports identify possible measures in accordance with the mitigation hierarchy, and these measures informed the development of EPRs. This enabled an assessment of the expected residual impacts of the Project on the existing environment. The mitigation hierarchy has been adopted (as defined below) where the preference is to avoid impacts wherever possible through Project refinement (in particular, design changes) and implementing mitigations to minimise, manage, rehabilitate or offset where avoidance is not possible.</w:t>
      </w:r>
    </w:p>
    <w:p w14:paraId="70CBFFFE" w14:textId="28EA6625" w:rsidR="000352FF" w:rsidRDefault="000352FF" w:rsidP="000352FF">
      <w:r w:rsidRPr="000352FF">
        <w:t>The EES technical reports recommend EPRs which set out the environmental outcomes to be achieved through the implementation of mitigation measures during construction, operation and decommissioning. While some EPRs are performance based to allow flexibility in how they will be achieved, others include more prescriptive measures that must be implemented. Compliance with the EPRs will be required as a condition of the Project’s approval</w:t>
      </w:r>
      <w:r w:rsidR="006B1FEE">
        <w:t>.</w:t>
      </w:r>
    </w:p>
    <w:p w14:paraId="5636417A" w14:textId="77777777" w:rsidR="000352FF" w:rsidRDefault="000352FF" w:rsidP="00AC0AB4">
      <w:pPr>
        <w:pStyle w:val="Call-outboxHeadingwithicon"/>
        <w:framePr w:w="8991" w:h="6801" w:hRule="exact" w:wrap="around" w:y="11"/>
      </w:pPr>
      <w:r>
        <w:br/>
        <w:t>Mitigation hierarchy</w:t>
      </w:r>
    </w:p>
    <w:p w14:paraId="7A7ABCD6" w14:textId="77777777" w:rsidR="000352FF" w:rsidRDefault="000352FF" w:rsidP="00AC0AB4">
      <w:pPr>
        <w:pStyle w:val="Call-outbox"/>
        <w:framePr w:w="8991" w:h="6801" w:hRule="exact" w:wrap="around" w:y="11"/>
      </w:pPr>
      <w:r>
        <w:t>The mitigation hierarchy of avoid, minimise, manage, rehabilitate and offset is paramount to the impact assessment process, where the preference is to avoid impacts wherever possible through Project refinement, thereby making and implementing minimisation, management (including rehabilitation) or offset measures where avoidance is not possible. These terms are defined as follows:</w:t>
      </w:r>
    </w:p>
    <w:p w14:paraId="51AB5494" w14:textId="77777777" w:rsidR="000352FF" w:rsidRDefault="000352FF" w:rsidP="00AC0AB4">
      <w:pPr>
        <w:pStyle w:val="Call-outbox"/>
        <w:framePr w:w="8991" w:h="6801" w:hRule="exact" w:wrap="around" w:y="11"/>
      </w:pPr>
      <w:r w:rsidRPr="000352FF">
        <w:rPr>
          <w:b/>
          <w:bCs/>
        </w:rPr>
        <w:t xml:space="preserve">Avoid </w:t>
      </w:r>
      <w:r>
        <w:t>– means undertaking measures to avoid creating adverse environmental impacts from the outset, such as careful planning in the placement of infrastructure to avoid disturbance of environmentally sensitive areas or a change in the construction approach.</w:t>
      </w:r>
    </w:p>
    <w:p w14:paraId="34D88EE7" w14:textId="77777777" w:rsidR="000352FF" w:rsidRDefault="000352FF" w:rsidP="00AC0AB4">
      <w:pPr>
        <w:pStyle w:val="Call-outbox"/>
        <w:framePr w:w="8991" w:h="6801" w:hRule="exact" w:wrap="around" w:y="11"/>
      </w:pPr>
      <w:r w:rsidRPr="000352FF">
        <w:rPr>
          <w:b/>
          <w:bCs/>
        </w:rPr>
        <w:t>Minimise</w:t>
      </w:r>
      <w:r>
        <w:t xml:space="preserve"> – means undertaking mitigation measures for those impacts that cannot be avoided in order to minimise the magnitude, extent and duration of impact. Examples include sedimentation controls, or establishment of no-go zones to protect native vegetation during construction.</w:t>
      </w:r>
    </w:p>
    <w:p w14:paraId="72EF054A" w14:textId="77777777" w:rsidR="000352FF" w:rsidRDefault="000352FF" w:rsidP="00AC0AB4">
      <w:pPr>
        <w:pStyle w:val="Call-outbox"/>
        <w:framePr w:w="8991" w:h="6801" w:hRule="exact" w:wrap="around" w:y="11"/>
      </w:pPr>
      <w:r w:rsidRPr="000352FF">
        <w:rPr>
          <w:b/>
          <w:bCs/>
        </w:rPr>
        <w:t>Manage</w:t>
      </w:r>
      <w:r>
        <w:t xml:space="preserve"> – means implementing management controls where impacts cannot be avoided or minimised. Examples include implementation of environmental management plans and training of staff.</w:t>
      </w:r>
    </w:p>
    <w:p w14:paraId="56AACBC3" w14:textId="77777777" w:rsidR="000352FF" w:rsidRDefault="000352FF" w:rsidP="00AC0AB4">
      <w:pPr>
        <w:pStyle w:val="Call-outbox"/>
        <w:framePr w:w="8991" w:h="6801" w:hRule="exact" w:wrap="around" w:y="11"/>
      </w:pPr>
      <w:r w:rsidRPr="000352FF">
        <w:rPr>
          <w:b/>
          <w:bCs/>
        </w:rPr>
        <w:t>Rehabilitate or restoration</w:t>
      </w:r>
      <w:r>
        <w:t xml:space="preserve"> – means providing measures to improve a degraded environment following exposure to impacts that cannot be completely avoided or minimised. Opportunities may also be taken to restore and enhance natural and built environments.</w:t>
      </w:r>
    </w:p>
    <w:p w14:paraId="7157D69F" w14:textId="77777777" w:rsidR="000352FF" w:rsidRPr="000352FF" w:rsidRDefault="000352FF" w:rsidP="00AC0AB4">
      <w:pPr>
        <w:pStyle w:val="Call-outbox"/>
        <w:framePr w:w="8991" w:h="6801" w:hRule="exact" w:wrap="around" w:y="11"/>
        <w:spacing w:after="240"/>
      </w:pPr>
      <w:r w:rsidRPr="000352FF">
        <w:rPr>
          <w:b/>
          <w:bCs/>
        </w:rPr>
        <w:t>Offset</w:t>
      </w:r>
      <w:r>
        <w:t xml:space="preserve"> – means implementing measures to compensate for residual, adverse impacts after full implementation of the previous steps.</w:t>
      </w:r>
    </w:p>
    <w:p w14:paraId="32C798E6" w14:textId="0A14CACF" w:rsidR="000352FF" w:rsidRDefault="000352FF" w:rsidP="009357F8">
      <w:pPr>
        <w:pStyle w:val="Heading3"/>
        <w:spacing w:before="600"/>
      </w:pPr>
      <w:bookmarkStart w:id="4" w:name="_Ref197944243"/>
      <w:bookmarkStart w:id="5" w:name="_Ref197944252"/>
      <w:r>
        <w:t>Cumulative impact assessment</w:t>
      </w:r>
      <w:bookmarkEnd w:id="4"/>
      <w:bookmarkEnd w:id="5"/>
    </w:p>
    <w:p w14:paraId="31CBDE73" w14:textId="6237AAD0" w:rsidR="000352FF" w:rsidRDefault="000352FF" w:rsidP="000352FF">
      <w:r>
        <w:t xml:space="preserve">In accordance with Section 4 of the scoping requirements, the EES assesses </w:t>
      </w:r>
      <w:r w:rsidR="00A72242">
        <w:rPr>
          <w:i/>
          <w:iCs/>
        </w:rPr>
        <w:t>”</w:t>
      </w:r>
      <w:r w:rsidRPr="000352FF">
        <w:rPr>
          <w:i/>
          <w:iCs/>
        </w:rPr>
        <w:t>the cumulative effect of the project in combination with other activities in the broader area/region … for all significant adverse effects</w:t>
      </w:r>
      <w:r w:rsidR="0013390E">
        <w:rPr>
          <w:i/>
          <w:iCs/>
        </w:rPr>
        <w:t>.</w:t>
      </w:r>
      <w:r w:rsidR="00A72242">
        <w:rPr>
          <w:i/>
          <w:iCs/>
        </w:rPr>
        <w:t>”</w:t>
      </w:r>
      <w:r w:rsidRPr="000352FF">
        <w:rPr>
          <w:i/>
          <w:iCs/>
        </w:rPr>
        <w:t xml:space="preserve"> </w:t>
      </w:r>
    </w:p>
    <w:p w14:paraId="7176C8E3" w14:textId="7521B2C6" w:rsidR="000352FF" w:rsidRDefault="000352FF" w:rsidP="000352FF">
      <w:r>
        <w:t>A cumulative impact assessment (CIA) was conducted by each technical specialist to evaluate the combined impacts of the Project (referred to in this section as ‘the Western Renewables Link Project’ for clarity) and other relevant future projects that may interact spatially and temporally to change the level of impact on environmental, social or cultural values. Cumulative impacts may be positive or negative and arise from the interaction of construction, operational and decommissioning activities of the Western Renewables Link Project, and other developments, activities, land uses and projects in the area, both current and future. When considered in isolation, specific Western Renewables Link Project impacts may be considered manageable. These manageable impacts may, however, be more substantial, when the impact of multiple projects on the same receptors are considered.</w:t>
      </w:r>
    </w:p>
    <w:p w14:paraId="680F6E6C" w14:textId="1B7E4F20" w:rsidR="00137B7B" w:rsidRDefault="00137B7B" w:rsidP="00DC42C3">
      <w:pPr>
        <w:keepNext/>
        <w:keepLines/>
      </w:pPr>
      <w:r w:rsidRPr="00137B7B">
        <w:lastRenderedPageBreak/>
        <w:t>Each CIA undertaken is presented within the associated technical report, with an overview provided in the relevant EES technical chapter. The scope of each assessment was relative to the discipline and nominated study area. However, the overarching approach was consistent for all disciplines, with two exceptions:</w:t>
      </w:r>
    </w:p>
    <w:p w14:paraId="5FBF6B42" w14:textId="77777777" w:rsidR="00137B7B" w:rsidRDefault="00137B7B" w:rsidP="00137B7B">
      <w:pPr>
        <w:pStyle w:val="ListBullet"/>
      </w:pPr>
      <w:r>
        <w:t xml:space="preserve">The CIA conducted to assess potential cumulative impacts on landscape and visual values also considered existing built infrastructure and followed an alternative method. This method is summarised in </w:t>
      </w:r>
      <w:r w:rsidRPr="00137B7B">
        <w:rPr>
          <w:b/>
          <w:bCs/>
        </w:rPr>
        <w:t xml:space="preserve">Chapter 11: Landscape and visual </w:t>
      </w:r>
      <w:r>
        <w:t xml:space="preserve">and detailed in </w:t>
      </w:r>
      <w:r w:rsidRPr="00137B7B">
        <w:rPr>
          <w:b/>
          <w:bCs/>
        </w:rPr>
        <w:t>Technical Report D: Landscape and Visual Impact Assessment.</w:t>
      </w:r>
      <w:r>
        <w:t xml:space="preserve"> </w:t>
      </w:r>
    </w:p>
    <w:p w14:paraId="4D82BAF0" w14:textId="77777777" w:rsidR="00137B7B" w:rsidRDefault="00137B7B" w:rsidP="00137B7B">
      <w:pPr>
        <w:pStyle w:val="ListBullet"/>
      </w:pPr>
      <w:r>
        <w:t xml:space="preserve">The CIA conducted to assess potential cumulative greenhouse gas emissions used an alternative method, as all emissions contribute towards a global greenhouse gas impact. As such, a comparison against Victorian and Commonwealth greenhouse gas emissions was undertaken. This method is summarised in </w:t>
      </w:r>
      <w:r w:rsidRPr="00137B7B">
        <w:rPr>
          <w:b/>
          <w:bCs/>
        </w:rPr>
        <w:t>Chapter 25: Greenhouse gas</w:t>
      </w:r>
      <w:r>
        <w:t xml:space="preserve"> and detailed in </w:t>
      </w:r>
      <w:r w:rsidRPr="00137B7B">
        <w:rPr>
          <w:b/>
          <w:bCs/>
        </w:rPr>
        <w:t xml:space="preserve">Technical Report M: Greenhouse Gas Impact Assessment. </w:t>
      </w:r>
    </w:p>
    <w:p w14:paraId="38DADC6B" w14:textId="07BFE166" w:rsidR="00137B7B" w:rsidRDefault="00137B7B" w:rsidP="00137B7B">
      <w:pPr>
        <w:pStyle w:val="Heading5"/>
      </w:pPr>
      <w:r>
        <w:t>Cumulative impact assessment approach</w:t>
      </w:r>
    </w:p>
    <w:p w14:paraId="2424DDE7" w14:textId="2EC06524" w:rsidR="00137B7B" w:rsidRDefault="00137B7B" w:rsidP="00137B7B">
      <w:r w:rsidRPr="00137B7B">
        <w:t>In the absence of guidelines for CIA under the Environment Effects Act or other Victorian legislation or guidelines, a method for CIA has been adopted from the International Finance Corporation Good Practice Handbook: Cumulative Impact Assessment and Management: Guidance for the Private Sector in Emerging Markets (IFC, 2013); and NSW Government Cumulative Impact Assessment Guidelines for State Significant Projects (NSW Government, 2021). This approach includes:</w:t>
      </w:r>
    </w:p>
    <w:p w14:paraId="30751471" w14:textId="77777777" w:rsidR="00137B7B" w:rsidRDefault="00137B7B" w:rsidP="00137B7B">
      <w:pPr>
        <w:pStyle w:val="ListBullet"/>
      </w:pPr>
      <w:r>
        <w:t>Establishing baseline conditions and identifying the valued environmental, social and cultural characteristics of the Project Land. These aspects formed the basis for identifying and evaluating cumulative impacts as they may arise from the Western Renewables Link Project and other projects.</w:t>
      </w:r>
    </w:p>
    <w:p w14:paraId="169DFF7B" w14:textId="77777777" w:rsidR="00137B7B" w:rsidRDefault="00137B7B" w:rsidP="00137B7B">
      <w:pPr>
        <w:pStyle w:val="ListBullet"/>
      </w:pPr>
      <w:r>
        <w:t>Identifying projects that overlap or intersect spatially with the Western Renewables Link Project activities, including those that are:</w:t>
      </w:r>
    </w:p>
    <w:p w14:paraId="6C667780" w14:textId="77777777" w:rsidR="00137B7B" w:rsidRDefault="00137B7B" w:rsidP="00137B7B">
      <w:pPr>
        <w:pStyle w:val="ListBullet2"/>
      </w:pPr>
      <w:r>
        <w:t>Geographically connected, for example via a river or road, or near to each other, or where there may be shared sensitive receivers for noise or air quality impacts.</w:t>
      </w:r>
    </w:p>
    <w:p w14:paraId="32035DA4" w14:textId="77777777" w:rsidR="00137B7B" w:rsidRDefault="00137B7B" w:rsidP="00137B7B">
      <w:pPr>
        <w:pStyle w:val="ListBullet2"/>
      </w:pPr>
      <w:r>
        <w:t>Located in the same region, such as western Victoria. Projects involving vegetation removal in the same region as the Western Renewables Link Project could contribute to cumulative impacts on threatened vegetation communities, habitats, or species. Other projects in western Victoria could also contribute to cumulative social impacts due to the demand for construction workers, the resulting effects on the local workforce, the demand for accommodation, and the impacts on rental costs.</w:t>
      </w:r>
    </w:p>
    <w:p w14:paraId="462C2509" w14:textId="77777777" w:rsidR="00137B7B" w:rsidRDefault="00137B7B" w:rsidP="00137B7B">
      <w:pPr>
        <w:pStyle w:val="ListBullet2"/>
      </w:pPr>
      <w:r>
        <w:t>Connected to the same receiving environments, for example the same downstream water environments. Downstream impacts on waterways may be exacerbated by incremental contributions of sediment to rivers that collectively may result in changed hydrology and impacts on land use and aquatic ecosystems.</w:t>
      </w:r>
    </w:p>
    <w:p w14:paraId="2695968C" w14:textId="77777777" w:rsidR="00137B7B" w:rsidRDefault="00137B7B" w:rsidP="00137B7B">
      <w:pPr>
        <w:pStyle w:val="ListBullet2"/>
      </w:pPr>
      <w:r>
        <w:t xml:space="preserve">Planning to use similar transportation routes or to obtain resources from the same locations, such as the Port of Melbourne. </w:t>
      </w:r>
    </w:p>
    <w:p w14:paraId="06A25EFD" w14:textId="77777777" w:rsidR="00137B7B" w:rsidRPr="00137B7B" w:rsidRDefault="00137B7B" w:rsidP="00137B7B">
      <w:pPr>
        <w:pStyle w:val="ListBullet"/>
      </w:pPr>
      <w:r w:rsidRPr="00137B7B">
        <w:t xml:space="preserve">Identifying projects that overlap in time with the Western Renewables Link Project’s activities, including for construction, operation and decommissioning stages, thereby establishing a temporal relationship. These relationships were identified based on the expectation that, pending approval, construction of the Western Renewables Link Project is expected to commence in late 2026, taking approximately two years to complete, and the estimated service life of the Project is 80 years. Speculative projects in early planning phases, likely to be designed and developed after the Western Renewables Link Project, were not considered relevant from a temporal relationship perspective. It is assumed that the impacts of the Western Renewables Link Project will be considered in the CIAs of those future projects. </w:t>
      </w:r>
    </w:p>
    <w:p w14:paraId="7633021E" w14:textId="7189225C" w:rsidR="00137B7B" w:rsidRDefault="00137B7B" w:rsidP="006F6E56">
      <w:pPr>
        <w:pStyle w:val="ListBullet"/>
        <w:keepNext/>
        <w:keepLines/>
        <w:numPr>
          <w:ilvl w:val="0"/>
          <w:numId w:val="0"/>
        </w:numPr>
        <w:ind w:left="284"/>
      </w:pPr>
      <w:r w:rsidRPr="00137B7B">
        <w:lastRenderedPageBreak/>
        <w:t>Projects that may be temporally connected with the Western Renewables Link Project include those that are:</w:t>
      </w:r>
    </w:p>
    <w:p w14:paraId="3512EBDA" w14:textId="77777777" w:rsidR="00137B7B" w:rsidRDefault="00137B7B" w:rsidP="00DC42C3">
      <w:pPr>
        <w:pStyle w:val="ListBullet2"/>
        <w:keepNext/>
        <w:keepLines/>
      </w:pPr>
      <w:r>
        <w:t>Currently in operation but have plans to change the scope of their operations during the life of the Western Renewables Link Project, for example where an existing quarry is seeking to expand during the life of the Western Renewables Link Project</w:t>
      </w:r>
    </w:p>
    <w:p w14:paraId="31EEE7C8" w14:textId="77777777" w:rsidR="00137B7B" w:rsidRDefault="00137B7B" w:rsidP="00137B7B">
      <w:pPr>
        <w:pStyle w:val="ListBullet2"/>
      </w:pPr>
      <w:r>
        <w:t>Approved and ready to commence construction, where construction, operation or decommissioning of the project is planned to occur during the life of the Western Renewables Link Project</w:t>
      </w:r>
    </w:p>
    <w:p w14:paraId="353EB87A" w14:textId="77777777" w:rsidR="00137B7B" w:rsidRDefault="00137B7B" w:rsidP="00137B7B">
      <w:pPr>
        <w:pStyle w:val="ListBullet2"/>
      </w:pPr>
      <w:r>
        <w:t xml:space="preserve">Under construction or being commissioned, where remaining construction, operation or decommissioning of the project is planned to occur during the life of the Western Renewables Link Project </w:t>
      </w:r>
    </w:p>
    <w:p w14:paraId="4237EB79" w14:textId="77777777" w:rsidR="00137B7B" w:rsidRDefault="00137B7B" w:rsidP="00137B7B">
      <w:pPr>
        <w:pStyle w:val="ListBullet2"/>
      </w:pPr>
      <w:r>
        <w:t>Currently undergoing the approvals process and likely to proceed during the life of the Western Renewables Link Project if approval is obtained.</w:t>
      </w:r>
    </w:p>
    <w:p w14:paraId="32055AA9" w14:textId="77777777" w:rsidR="00137B7B" w:rsidRPr="00137B7B" w:rsidRDefault="00137B7B" w:rsidP="00137B7B">
      <w:pPr>
        <w:pStyle w:val="ListBullet"/>
      </w:pPr>
      <w:r w:rsidRPr="00137B7B">
        <w:t xml:space="preserve">Determining if other projects qualify as ‘relevant future projects’. For a project to be considered a relevant future project and eligible for consideration in the CIA, it must meet the following criteria: </w:t>
      </w:r>
    </w:p>
    <w:p w14:paraId="18C9794E" w14:textId="77777777" w:rsidR="00137B7B" w:rsidRDefault="00137B7B" w:rsidP="00137B7B">
      <w:pPr>
        <w:pStyle w:val="ListBullet2"/>
      </w:pPr>
      <w:r>
        <w:t xml:space="preserve">Proportionate to the scale and potential significance of the impacts of the Western Renewables Link Project. While not all selected projects are proportional to the Western Renewables Link, if a project’s location and likely interaction with the Western Renewables Link was considered sufficient to require assessment, then it was included   </w:t>
      </w:r>
    </w:p>
    <w:p w14:paraId="043F55E5" w14:textId="77777777" w:rsidR="00137B7B" w:rsidRDefault="00137B7B" w:rsidP="00137B7B">
      <w:pPr>
        <w:pStyle w:val="ListBullet2"/>
      </w:pPr>
      <w:r>
        <w:t>Have sufficient publicly available information in an EES or an environmental approvals application that describes the potential impacts on environmental, social and cultural values in enough detail to assess the project’s contribution to cumulative impacts</w:t>
      </w:r>
    </w:p>
    <w:p w14:paraId="0CCEDA48" w14:textId="77777777" w:rsidR="00137B7B" w:rsidRDefault="00137B7B" w:rsidP="00137B7B">
      <w:pPr>
        <w:pStyle w:val="ListBullet2"/>
      </w:pPr>
      <w:r>
        <w:t xml:space="preserve">Be in a spatial and temporal relationship to the Western Renewables Link Project. </w:t>
      </w:r>
    </w:p>
    <w:p w14:paraId="54C8CCF1" w14:textId="77777777" w:rsidR="00137B7B" w:rsidRDefault="00137B7B" w:rsidP="00137B7B">
      <w:pPr>
        <w:pStyle w:val="ListBullet"/>
      </w:pPr>
      <w:r>
        <w:t>Assessing the cumulative impacts and their significance</w:t>
      </w:r>
    </w:p>
    <w:p w14:paraId="366B1C02" w14:textId="777B3D96" w:rsidR="00137B7B" w:rsidRDefault="00137B7B" w:rsidP="00137B7B">
      <w:pPr>
        <w:pStyle w:val="ListBullet"/>
      </w:pPr>
      <w:r>
        <w:t>Proposing mitigation strategies where the Western Renewables Link Project could contribute to a possible and significant cumulative impact.</w:t>
      </w:r>
    </w:p>
    <w:p w14:paraId="194BC875" w14:textId="498D2CFB" w:rsidR="00137B7B" w:rsidRDefault="00137B7B" w:rsidP="00137B7B">
      <w:pPr>
        <w:sectPr w:rsidR="00137B7B" w:rsidSect="00A03B48">
          <w:footnotePr>
            <w:numFmt w:val="chicago"/>
            <w:numRestart w:val="eachPage"/>
          </w:footnotePr>
          <w:pgSz w:w="11906" w:h="16838" w:code="9"/>
          <w:pgMar w:top="1418" w:right="1418" w:bottom="1418" w:left="1418" w:header="1134" w:footer="340" w:gutter="0"/>
          <w:pgNumType w:chapStyle="1"/>
          <w:cols w:space="708"/>
          <w:docGrid w:linePitch="360"/>
        </w:sectPr>
      </w:pPr>
      <w:r w:rsidRPr="00137B7B">
        <w:t xml:space="preserve">Using this approach, 23 projects were identified as relevant future projects for the purposes of the CIA. These are shown in </w:t>
      </w:r>
      <w:r w:rsidR="004D149C">
        <w:fldChar w:fldCharType="begin"/>
      </w:r>
      <w:r w:rsidR="004D149C">
        <w:instrText xml:space="preserve"> REF _Ref197943455 \h </w:instrText>
      </w:r>
      <w:r w:rsidR="004D149C">
        <w:fldChar w:fldCharType="separate"/>
      </w:r>
      <w:r w:rsidR="004D149C">
        <w:t xml:space="preserve">Figure </w:t>
      </w:r>
      <w:r w:rsidR="004D149C">
        <w:rPr>
          <w:noProof/>
        </w:rPr>
        <w:t>4</w:t>
      </w:r>
      <w:r w:rsidR="004D149C">
        <w:t>.</w:t>
      </w:r>
      <w:r w:rsidR="004D149C">
        <w:rPr>
          <w:noProof/>
        </w:rPr>
        <w:t>3</w:t>
      </w:r>
      <w:r w:rsidR="004D149C">
        <w:fldChar w:fldCharType="end"/>
      </w:r>
      <w:r w:rsidR="004D149C">
        <w:t xml:space="preserve"> </w:t>
      </w:r>
      <w:r w:rsidRPr="00137B7B">
        <w:t xml:space="preserve">and summarised in </w:t>
      </w:r>
      <w:r w:rsidR="004D149C">
        <w:fldChar w:fldCharType="begin"/>
      </w:r>
      <w:r w:rsidR="004D149C">
        <w:instrText xml:space="preserve"> REF _Ref197943505 \h </w:instrText>
      </w:r>
      <w:r w:rsidR="004D149C">
        <w:fldChar w:fldCharType="separate"/>
      </w:r>
      <w:r w:rsidR="004D149C">
        <w:t xml:space="preserve">Table </w:t>
      </w:r>
      <w:r w:rsidR="004D149C">
        <w:rPr>
          <w:noProof/>
        </w:rPr>
        <w:t>4</w:t>
      </w:r>
      <w:r w:rsidR="004D149C">
        <w:t>.</w:t>
      </w:r>
      <w:r w:rsidR="004D149C">
        <w:rPr>
          <w:noProof/>
        </w:rPr>
        <w:t>2</w:t>
      </w:r>
      <w:r w:rsidR="004D149C">
        <w:fldChar w:fldCharType="end"/>
      </w:r>
      <w:r w:rsidRPr="00137B7B">
        <w:t>.</w:t>
      </w:r>
    </w:p>
    <w:p w14:paraId="799F0A97" w14:textId="42A136E4" w:rsidR="00137B7B" w:rsidRDefault="007942E1" w:rsidP="00137B7B">
      <w:pPr>
        <w:tabs>
          <w:tab w:val="right" w:pos="14002"/>
        </w:tabs>
        <w:sectPr w:rsidR="00137B7B" w:rsidSect="00A03B48">
          <w:footnotePr>
            <w:numFmt w:val="chicago"/>
            <w:numRestart w:val="eachPage"/>
          </w:footnotePr>
          <w:pgSz w:w="16838" w:h="11906" w:orient="landscape" w:code="9"/>
          <w:pgMar w:top="1418" w:right="1418" w:bottom="1418" w:left="1418" w:header="1134" w:footer="340" w:gutter="0"/>
          <w:pgNumType w:chapStyle="1"/>
          <w:cols w:space="708"/>
          <w:docGrid w:linePitch="360"/>
        </w:sectPr>
      </w:pPr>
      <w:r>
        <w:rPr>
          <w:noProof/>
        </w:rPr>
        <w:lastRenderedPageBreak/>
        <mc:AlternateContent>
          <mc:Choice Requires="wps">
            <w:drawing>
              <wp:anchor distT="0" distB="0" distL="114300" distR="114300" simplePos="0" relativeHeight="251664393" behindDoc="0" locked="0" layoutInCell="1" allowOverlap="1" wp14:anchorId="4D737443" wp14:editId="273C360B">
                <wp:simplePos x="0" y="0"/>
                <wp:positionH relativeFrom="column">
                  <wp:posOffset>-306484</wp:posOffset>
                </wp:positionH>
                <wp:positionV relativeFrom="paragraph">
                  <wp:posOffset>5950664</wp:posOffset>
                </wp:positionV>
                <wp:extent cx="1698960" cy="180432"/>
                <wp:effectExtent l="0" t="0" r="0" b="0"/>
                <wp:wrapNone/>
                <wp:docPr id="1155869341" name="Text Box 1"/>
                <wp:cNvGraphicFramePr/>
                <a:graphic xmlns:a="http://schemas.openxmlformats.org/drawingml/2006/main">
                  <a:graphicData uri="http://schemas.microsoft.com/office/word/2010/wordprocessingShape">
                    <wps:wsp>
                      <wps:cNvSpPr txBox="1"/>
                      <wps:spPr>
                        <a:xfrm>
                          <a:off x="0" y="0"/>
                          <a:ext cx="1698960" cy="180432"/>
                        </a:xfrm>
                        <a:prstGeom prst="rect">
                          <a:avLst/>
                        </a:prstGeom>
                        <a:solidFill>
                          <a:prstClr val="white"/>
                        </a:solidFill>
                        <a:ln>
                          <a:noFill/>
                        </a:ln>
                      </wps:spPr>
                      <wps:txbx>
                        <w:txbxContent>
                          <w:p w14:paraId="5F15C4EB" w14:textId="5E8E68B5" w:rsidR="00137B7B" w:rsidRPr="00CF48AF" w:rsidRDefault="00137B7B" w:rsidP="00137B7B">
                            <w:pPr>
                              <w:pStyle w:val="Caption"/>
                              <w:rPr>
                                <w:noProof/>
                                <w:sz w:val="18"/>
                              </w:rPr>
                            </w:pPr>
                            <w:bookmarkStart w:id="6" w:name="_Ref197943455"/>
                            <w:r>
                              <w:t xml:space="preserve">Figure </w:t>
                            </w:r>
                            <w:r>
                              <w:fldChar w:fldCharType="begin"/>
                            </w:r>
                            <w:r>
                              <w:instrText>STYLEREF 1 \s</w:instrText>
                            </w:r>
                            <w:r>
                              <w:fldChar w:fldCharType="separate"/>
                            </w:r>
                            <w:r>
                              <w:rPr>
                                <w:noProof/>
                              </w:rPr>
                              <w:t>4</w:t>
                            </w:r>
                            <w:r>
                              <w:fldChar w:fldCharType="end"/>
                            </w:r>
                            <w:r>
                              <w:t>.</w:t>
                            </w:r>
                            <w:r>
                              <w:fldChar w:fldCharType="begin"/>
                            </w:r>
                            <w:r>
                              <w:instrText>SEQ Figure \* ARABIC \s 1</w:instrText>
                            </w:r>
                            <w:r>
                              <w:fldChar w:fldCharType="separate"/>
                            </w:r>
                            <w:r>
                              <w:rPr>
                                <w:noProof/>
                              </w:rPr>
                              <w:t>3</w:t>
                            </w:r>
                            <w:r>
                              <w:fldChar w:fldCharType="end"/>
                            </w:r>
                            <w:bookmarkEnd w:id="6"/>
                            <w:r>
                              <w:t xml:space="preserve"> Relevant future projects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737443" id="_x0000_t202" coordsize="21600,21600" o:spt="202" path="m,l,21600r21600,l21600,xe">
                <v:stroke joinstyle="miter"/>
                <v:path gradientshapeok="t" o:connecttype="rect"/>
              </v:shapetype>
              <v:shape id="Text Box 1" o:spid="_x0000_s1026" type="#_x0000_t202" style="position:absolute;margin-left:-24.15pt;margin-top:468.55pt;width:133.8pt;height:14.2pt;z-index:251664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" stroked="f">
                <v:textbox inset="0,0,0,0">
                  <w:txbxContent>
                    <w:p w14:paraId="5F15C4EB" w14:textId="5E8E68B5" w:rsidR="00137B7B" w:rsidRPr="00CF48AF" w:rsidRDefault="00137B7B" w:rsidP="00137B7B">
                      <w:pPr>
                        <w:pStyle w:val="Caption"/>
                        <w:rPr>
                          <w:noProof/>
                          <w:sz w:val="18"/>
                        </w:rPr>
                      </w:pPr>
                      <w:bookmarkStart w:id="7" w:name="_Ref197943455"/>
                      <w:r>
                        <w:t xml:space="preserve">Figure </w:t>
                      </w:r>
                      <w:r>
                        <w:fldChar w:fldCharType="begin"/>
                      </w:r>
                      <w:r>
                        <w:instrText>STYLEREF 1 \s</w:instrText>
                      </w:r>
                      <w:r>
                        <w:fldChar w:fldCharType="separate"/>
                      </w:r>
                      <w:r>
                        <w:rPr>
                          <w:noProof/>
                        </w:rPr>
                        <w:t>4</w:t>
                      </w:r>
                      <w:r>
                        <w:fldChar w:fldCharType="end"/>
                      </w:r>
                      <w:r>
                        <w:t>.</w:t>
                      </w:r>
                      <w:r>
                        <w:fldChar w:fldCharType="begin"/>
                      </w:r>
                      <w:r>
                        <w:instrText>SEQ Figure \* ARABIC \s 1</w:instrText>
                      </w:r>
                      <w:r>
                        <w:fldChar w:fldCharType="separate"/>
                      </w:r>
                      <w:r>
                        <w:rPr>
                          <w:noProof/>
                        </w:rPr>
                        <w:t>3</w:t>
                      </w:r>
                      <w:r>
                        <w:fldChar w:fldCharType="end"/>
                      </w:r>
                      <w:bookmarkEnd w:id="7"/>
                      <w:r>
                        <w:t xml:space="preserve"> Relevant future projects</w:t>
                      </w:r>
                    </w:p>
                  </w:txbxContent>
                </v:textbox>
              </v:shape>
            </w:pict>
          </mc:Fallback>
        </mc:AlternateContent>
      </w:r>
      <w:r>
        <w:rPr>
          <w:noProof/>
        </w:rPr>
        <w:drawing>
          <wp:anchor distT="0" distB="0" distL="114300" distR="114300" simplePos="0" relativeHeight="251661320" behindDoc="0" locked="0" layoutInCell="1" allowOverlap="1" wp14:anchorId="36E903F3" wp14:editId="3DC39CAC">
            <wp:simplePos x="0" y="0"/>
            <wp:positionH relativeFrom="page">
              <wp:posOffset>563245</wp:posOffset>
            </wp:positionH>
            <wp:positionV relativeFrom="page">
              <wp:posOffset>288290</wp:posOffset>
            </wp:positionV>
            <wp:extent cx="9574938" cy="6768000"/>
            <wp:effectExtent l="0" t="0" r="7620" b="0"/>
            <wp:wrapNone/>
            <wp:docPr id="1697319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74938" cy="67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829BD8" w14:textId="510463B0" w:rsidR="001C440C" w:rsidRDefault="001C440C" w:rsidP="001C440C">
      <w:pPr>
        <w:pStyle w:val="Caption"/>
        <w:keepNext/>
      </w:pPr>
      <w:bookmarkStart w:id="8" w:name="_Ref197943505"/>
      <w:r>
        <w:lastRenderedPageBreak/>
        <w:t xml:space="preserve">Table </w:t>
      </w:r>
      <w:r>
        <w:fldChar w:fldCharType="begin"/>
      </w:r>
      <w:r>
        <w:instrText>STYLEREF 1 \s</w:instrText>
      </w:r>
      <w:r>
        <w:fldChar w:fldCharType="separate"/>
      </w:r>
      <w:r>
        <w:rPr>
          <w:noProof/>
        </w:rPr>
        <w:t>4</w:t>
      </w:r>
      <w:r>
        <w:fldChar w:fldCharType="end"/>
      </w:r>
      <w:r>
        <w:t>.</w:t>
      </w:r>
      <w:r>
        <w:fldChar w:fldCharType="begin"/>
      </w:r>
      <w:r>
        <w:instrText>SEQ Table \* ARABIC \s 1</w:instrText>
      </w:r>
      <w:r>
        <w:fldChar w:fldCharType="separate"/>
      </w:r>
      <w:r>
        <w:rPr>
          <w:noProof/>
        </w:rPr>
        <w:t>2</w:t>
      </w:r>
      <w:r>
        <w:fldChar w:fldCharType="end"/>
      </w:r>
      <w:bookmarkEnd w:id="8"/>
      <w:r>
        <w:t xml:space="preserve"> Relevant future projects</w:t>
      </w:r>
    </w:p>
    <w:tbl>
      <w:tblPr>
        <w:tblStyle w:val="WVTTable2"/>
        <w:tblW w:w="5000" w:type="pct"/>
        <w:tblLook w:val="04A0" w:firstRow="1" w:lastRow="0" w:firstColumn="1" w:lastColumn="0" w:noHBand="0" w:noVBand="1"/>
      </w:tblPr>
      <w:tblGrid>
        <w:gridCol w:w="1919"/>
        <w:gridCol w:w="2831"/>
        <w:gridCol w:w="2436"/>
        <w:gridCol w:w="3033"/>
        <w:gridCol w:w="1991"/>
        <w:gridCol w:w="1792"/>
      </w:tblGrid>
      <w:tr w:rsidR="00137B7B" w14:paraId="432568FD" w14:textId="77777777" w:rsidTr="392788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85" w:type="pct"/>
          </w:tcPr>
          <w:p w14:paraId="50D5E415" w14:textId="3C69214A" w:rsidR="00137B7B" w:rsidRDefault="00137B7B" w:rsidP="00137B7B">
            <w:pPr>
              <w:pStyle w:val="TableText"/>
            </w:pPr>
            <w:r w:rsidRPr="006A4C74">
              <w:t>Project</w:t>
            </w:r>
          </w:p>
        </w:tc>
        <w:tc>
          <w:tcPr>
            <w:tcW w:w="1011" w:type="pct"/>
          </w:tcPr>
          <w:p w14:paraId="389BE5FA" w14:textId="282EEF13" w:rsidR="00137B7B" w:rsidRDefault="00137B7B" w:rsidP="00137B7B">
            <w:pPr>
              <w:pStyle w:val="TableText"/>
              <w:cnfStyle w:val="100000000000" w:firstRow="1" w:lastRow="0" w:firstColumn="0" w:lastColumn="0" w:oddVBand="0" w:evenVBand="0" w:oddHBand="0" w:evenHBand="0" w:firstRowFirstColumn="0" w:firstRowLastColumn="0" w:lastRowFirstColumn="0" w:lastRowLastColumn="0"/>
            </w:pPr>
            <w:r w:rsidRPr="006A4C74">
              <w:t>Description</w:t>
            </w:r>
          </w:p>
        </w:tc>
        <w:tc>
          <w:tcPr>
            <w:tcW w:w="870" w:type="pct"/>
          </w:tcPr>
          <w:p w14:paraId="4FD27452" w14:textId="2B96618D" w:rsidR="00137B7B" w:rsidRDefault="00137B7B" w:rsidP="00137B7B">
            <w:pPr>
              <w:pStyle w:val="TableText"/>
              <w:cnfStyle w:val="100000000000" w:firstRow="1" w:lastRow="0" w:firstColumn="0" w:lastColumn="0" w:oddVBand="0" w:evenVBand="0" w:oddHBand="0" w:evenHBand="0" w:firstRowFirstColumn="0" w:firstRowLastColumn="0" w:lastRowFirstColumn="0" w:lastRowLastColumn="0"/>
            </w:pPr>
            <w:r w:rsidRPr="006A4C74">
              <w:t>Spatial relationship</w:t>
            </w:r>
          </w:p>
        </w:tc>
        <w:tc>
          <w:tcPr>
            <w:tcW w:w="1083" w:type="pct"/>
          </w:tcPr>
          <w:p w14:paraId="57C55916" w14:textId="43293A29" w:rsidR="00137B7B" w:rsidRDefault="00137B7B" w:rsidP="00137B7B">
            <w:pPr>
              <w:pStyle w:val="TableText"/>
              <w:cnfStyle w:val="100000000000" w:firstRow="1" w:lastRow="0" w:firstColumn="0" w:lastColumn="0" w:oddVBand="0" w:evenVBand="0" w:oddHBand="0" w:evenHBand="0" w:firstRowFirstColumn="0" w:firstRowLastColumn="0" w:lastRowFirstColumn="0" w:lastRowLastColumn="0"/>
            </w:pPr>
            <w:r w:rsidRPr="006A4C74">
              <w:t>Temporal relationship</w:t>
            </w:r>
          </w:p>
        </w:tc>
        <w:tc>
          <w:tcPr>
            <w:tcW w:w="711" w:type="pct"/>
          </w:tcPr>
          <w:p w14:paraId="48F77F07" w14:textId="1FA90BDE" w:rsidR="00137B7B" w:rsidRDefault="00137B7B" w:rsidP="00137B7B">
            <w:pPr>
              <w:pStyle w:val="TableText"/>
              <w:cnfStyle w:val="100000000000" w:firstRow="1" w:lastRow="0" w:firstColumn="0" w:lastColumn="0" w:oddVBand="0" w:evenVBand="0" w:oddHBand="0" w:evenHBand="0" w:firstRowFirstColumn="0" w:firstRowLastColumn="0" w:lastRowFirstColumn="0" w:lastRowLastColumn="0"/>
            </w:pPr>
            <w:r w:rsidRPr="006A4C74">
              <w:t>Eligibility</w:t>
            </w:r>
          </w:p>
        </w:tc>
        <w:tc>
          <w:tcPr>
            <w:tcW w:w="640" w:type="pct"/>
          </w:tcPr>
          <w:p w14:paraId="59D107CF" w14:textId="3338F660" w:rsidR="00137B7B" w:rsidRDefault="00137B7B" w:rsidP="00137B7B">
            <w:pPr>
              <w:pStyle w:val="TableText"/>
              <w:cnfStyle w:val="100000000000" w:firstRow="1" w:lastRow="0" w:firstColumn="0" w:lastColumn="0" w:oddVBand="0" w:evenVBand="0" w:oddHBand="0" w:evenHBand="0" w:firstRowFirstColumn="0" w:firstRowLastColumn="0" w:lastRowFirstColumn="0" w:lastRowLastColumn="0"/>
            </w:pPr>
            <w:r w:rsidRPr="006A4C74">
              <w:t>Identified aspect(s) with potential cumulative impacts</w:t>
            </w:r>
          </w:p>
        </w:tc>
      </w:tr>
      <w:tr w:rsidR="00137B7B" w14:paraId="727821B5" w14:textId="77777777" w:rsidTr="392788E3">
        <w:tc>
          <w:tcPr>
            <w:cnfStyle w:val="001000000000" w:firstRow="0" w:lastRow="0" w:firstColumn="1" w:lastColumn="0" w:oddVBand="0" w:evenVBand="0" w:oddHBand="0" w:evenHBand="0" w:firstRowFirstColumn="0" w:firstRowLastColumn="0" w:lastRowFirstColumn="0" w:lastRowLastColumn="0"/>
            <w:tcW w:w="685" w:type="pct"/>
          </w:tcPr>
          <w:p w14:paraId="0D39951E" w14:textId="09E69E29" w:rsidR="00137B7B" w:rsidRPr="00137B7B" w:rsidRDefault="00137B7B" w:rsidP="00137B7B">
            <w:pPr>
              <w:pStyle w:val="TableNumbers"/>
              <w:numPr>
                <w:ilvl w:val="0"/>
                <w:numId w:val="24"/>
              </w:numPr>
            </w:pPr>
            <w:r>
              <w:t>2022 Melbourne Airport Masterplan</w:t>
            </w:r>
          </w:p>
        </w:tc>
        <w:tc>
          <w:tcPr>
            <w:tcW w:w="1011" w:type="pct"/>
          </w:tcPr>
          <w:p w14:paraId="751A6641" w14:textId="41DD25EC" w:rsidR="00137B7B" w:rsidRDefault="00137B7B" w:rsidP="00137B7B">
            <w:pPr>
              <w:pStyle w:val="TableText"/>
              <w:cnfStyle w:val="000000000000" w:firstRow="0" w:lastRow="0" w:firstColumn="0" w:lastColumn="0" w:oddVBand="0" w:evenVBand="0" w:oddHBand="0" w:evenHBand="0" w:firstRowFirstColumn="0" w:firstRowLastColumn="0" w:lastRowFirstColumn="0" w:lastRowLastColumn="0"/>
            </w:pPr>
            <w:r w:rsidRPr="00C00526">
              <w:t>The 2022 Melbourne Airport Masterplan, approved by the Commonwealth Minister for Infrastructure, Transport, Regional Development and Local Government to guide future growth and development of the Melbourne Airport. Major Projects include the development of the third runway, the T4 Express Link, and connecting an elevated road and forecourt.</w:t>
            </w:r>
          </w:p>
        </w:tc>
        <w:tc>
          <w:tcPr>
            <w:tcW w:w="870" w:type="pct"/>
          </w:tcPr>
          <w:p w14:paraId="10D1BAF6" w14:textId="5C04A713" w:rsidR="00137B7B" w:rsidRDefault="00137B7B" w:rsidP="00137B7B">
            <w:pPr>
              <w:pStyle w:val="TableText"/>
              <w:cnfStyle w:val="000000000000" w:firstRow="0" w:lastRow="0" w:firstColumn="0" w:lastColumn="0" w:oddVBand="0" w:evenVBand="0" w:oddHBand="0" w:evenHBand="0" w:firstRowFirstColumn="0" w:firstRowLastColumn="0" w:lastRowFirstColumn="0" w:lastRowLastColumn="0"/>
            </w:pPr>
            <w:r w:rsidRPr="00C00526">
              <w:t xml:space="preserve">This project is located within the Melbourne Airport environs, approximately 6km from the eastern end of Project Land. As such, potential impacts are expected to have a spatial relationship with the Western Renewables Link Project. </w:t>
            </w:r>
          </w:p>
        </w:tc>
        <w:tc>
          <w:tcPr>
            <w:tcW w:w="1083" w:type="pct"/>
          </w:tcPr>
          <w:p w14:paraId="58FE1FD8" w14:textId="398A63A9" w:rsidR="00137B7B" w:rsidRDefault="00137B7B" w:rsidP="00137B7B">
            <w:pPr>
              <w:pStyle w:val="TableText"/>
              <w:cnfStyle w:val="000000000000" w:firstRow="0" w:lastRow="0" w:firstColumn="0" w:lastColumn="0" w:oddVBand="0" w:evenVBand="0" w:oddHBand="0" w:evenHBand="0" w:firstRowFirstColumn="0" w:firstRowLastColumn="0" w:lastRowFirstColumn="0" w:lastRowLastColumn="0"/>
            </w:pPr>
            <w:r w:rsidRPr="00C00526">
              <w:t xml:space="preserve">This project has been approved and is currently under construction. Works are planned until 2027. As such, potential impacts are expected to have a temporal relationship with the Western Renewables Link Project. </w:t>
            </w:r>
          </w:p>
        </w:tc>
        <w:tc>
          <w:tcPr>
            <w:tcW w:w="711" w:type="pct"/>
          </w:tcPr>
          <w:p w14:paraId="28188F51" w14:textId="0D1E297B" w:rsidR="00137B7B" w:rsidRDefault="00137B7B" w:rsidP="00137B7B">
            <w:pPr>
              <w:pStyle w:val="TableText"/>
              <w:cnfStyle w:val="000000000000" w:firstRow="0" w:lastRow="0" w:firstColumn="0" w:lastColumn="0" w:oddVBand="0" w:evenVBand="0" w:oddHBand="0" w:evenHBand="0" w:firstRowFirstColumn="0" w:firstRowLastColumn="0" w:lastRowFirstColumn="0" w:lastRowLastColumn="0"/>
            </w:pPr>
            <w:r w:rsidRPr="00C00526">
              <w:t>Sufficient information is publicly available as environmental impact assessments have been undertaken by the project proponent as part of the Major Development Plan process.</w:t>
            </w:r>
          </w:p>
        </w:tc>
        <w:tc>
          <w:tcPr>
            <w:tcW w:w="640" w:type="pct"/>
          </w:tcPr>
          <w:p w14:paraId="513ED4D7" w14:textId="0FDCC73B" w:rsidR="00137B7B" w:rsidRDefault="00137B7B" w:rsidP="00137B7B">
            <w:pPr>
              <w:pStyle w:val="TableBullet"/>
              <w:cnfStyle w:val="000000000000" w:firstRow="0" w:lastRow="0" w:firstColumn="0" w:lastColumn="0" w:oddVBand="0" w:evenVBand="0" w:oddHBand="0" w:evenHBand="0" w:firstRowFirstColumn="0" w:firstRowLastColumn="0" w:lastRowFirstColumn="0" w:lastRowLastColumn="0"/>
            </w:pPr>
            <w:r>
              <w:t>Aviation</w:t>
            </w:r>
            <w:r w:rsidR="002A1474">
              <w:t>.</w:t>
            </w:r>
          </w:p>
        </w:tc>
      </w:tr>
      <w:tr w:rsidR="00137B7B" w14:paraId="5892F817" w14:textId="77777777" w:rsidTr="392788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5" w:type="pct"/>
          </w:tcPr>
          <w:p w14:paraId="05B20249" w14:textId="0DC54795" w:rsidR="00137B7B" w:rsidRDefault="00137B7B" w:rsidP="00137B7B">
            <w:pPr>
              <w:pStyle w:val="TableNumbers"/>
            </w:pPr>
            <w:r>
              <w:t>Beaufort Bypass (Western Highway)</w:t>
            </w:r>
          </w:p>
        </w:tc>
        <w:tc>
          <w:tcPr>
            <w:tcW w:w="1011" w:type="pct"/>
          </w:tcPr>
          <w:p w14:paraId="190E62CB" w14:textId="63B34485" w:rsidR="00137B7B" w:rsidRDefault="00137B7B" w:rsidP="00137B7B">
            <w:pPr>
              <w:pStyle w:val="TableText"/>
              <w:cnfStyle w:val="000000010000" w:firstRow="0" w:lastRow="0" w:firstColumn="0" w:lastColumn="0" w:oddVBand="0" w:evenVBand="0" w:oddHBand="0" w:evenHBand="1" w:firstRowFirstColumn="0" w:firstRowLastColumn="0" w:lastRowFirstColumn="0" w:lastRowLastColumn="0"/>
            </w:pPr>
            <w:r w:rsidRPr="006F359B">
              <w:t>A new 11km duplication of the Western Highway to bypass Beaufort, linking completed sections of the Western Highway duplication to the east and west of Beaufort.</w:t>
            </w:r>
          </w:p>
        </w:tc>
        <w:tc>
          <w:tcPr>
            <w:tcW w:w="870" w:type="pct"/>
          </w:tcPr>
          <w:p w14:paraId="57F0C908" w14:textId="6F58909C" w:rsidR="00137B7B" w:rsidRDefault="00137B7B" w:rsidP="00137B7B">
            <w:pPr>
              <w:pStyle w:val="TableText"/>
              <w:cnfStyle w:val="000000010000" w:firstRow="0" w:lastRow="0" w:firstColumn="0" w:lastColumn="0" w:oddVBand="0" w:evenVBand="0" w:oddHBand="0" w:evenHBand="1" w:firstRowFirstColumn="0" w:firstRowLastColumn="0" w:lastRowFirstColumn="0" w:lastRowLastColumn="0"/>
            </w:pPr>
            <w:r w:rsidRPr="006F359B">
              <w:t xml:space="preserve">The study area is within 16km of Project Land and is expected to have a spatial relationship with the Western Renewables Link Project. </w:t>
            </w:r>
          </w:p>
        </w:tc>
        <w:tc>
          <w:tcPr>
            <w:tcW w:w="1083" w:type="pct"/>
          </w:tcPr>
          <w:p w14:paraId="4B5D1617" w14:textId="33B098E6" w:rsidR="00137B7B" w:rsidRDefault="00137B7B" w:rsidP="00137B7B">
            <w:pPr>
              <w:pStyle w:val="TableText"/>
              <w:cnfStyle w:val="000000010000" w:firstRow="0" w:lastRow="0" w:firstColumn="0" w:lastColumn="0" w:oddVBand="0" w:evenVBand="0" w:oddHBand="0" w:evenHBand="1" w:firstRowFirstColumn="0" w:firstRowLastColumn="0" w:lastRowFirstColumn="0" w:lastRowLastColumn="0"/>
            </w:pPr>
            <w:r w:rsidRPr="006F359B">
              <w:t>The Minister for Planning’s assessment of the EES for this project was released in November 2023, and the Planning Scheme Amendment request has been submitted. While all funds are currently for planning purposes only, it is possible funding for construction may be approved in the next few years. If so, any potential impacts are expected to have a temporal relationship with the Western Renewables Link Project.</w:t>
            </w:r>
          </w:p>
        </w:tc>
        <w:tc>
          <w:tcPr>
            <w:tcW w:w="711" w:type="pct"/>
          </w:tcPr>
          <w:p w14:paraId="4D25568F" w14:textId="18E67C82" w:rsidR="00137B7B" w:rsidRDefault="00137B7B" w:rsidP="00137B7B">
            <w:pPr>
              <w:pStyle w:val="TableText"/>
              <w:cnfStyle w:val="000000010000" w:firstRow="0" w:lastRow="0" w:firstColumn="0" w:lastColumn="0" w:oddVBand="0" w:evenVBand="0" w:oddHBand="0" w:evenHBand="1" w:firstRowFirstColumn="0" w:firstRowLastColumn="0" w:lastRowFirstColumn="0" w:lastRowLastColumn="0"/>
            </w:pPr>
            <w:r w:rsidRPr="006F359B">
              <w:t>Sufficient information is publicly available as environmental impact assessments were undertaken by the project proponent as part of the EES process.</w:t>
            </w:r>
          </w:p>
        </w:tc>
        <w:tc>
          <w:tcPr>
            <w:tcW w:w="640" w:type="pct"/>
          </w:tcPr>
          <w:p w14:paraId="4D4A7450" w14:textId="77777777" w:rsidR="00137B7B" w:rsidRDefault="00137B7B" w:rsidP="00137B7B">
            <w:pPr>
              <w:pStyle w:val="TableBullet"/>
              <w:cnfStyle w:val="000000010000" w:firstRow="0" w:lastRow="0" w:firstColumn="0" w:lastColumn="0" w:oddVBand="0" w:evenVBand="0" w:oddHBand="0" w:evenHBand="1" w:firstRowFirstColumn="0" w:firstRowLastColumn="0" w:lastRowFirstColumn="0" w:lastRowLastColumn="0"/>
            </w:pPr>
            <w:r>
              <w:t>Agriculture and forestry</w:t>
            </w:r>
          </w:p>
          <w:p w14:paraId="2C767C80" w14:textId="5577E90F" w:rsidR="00137B7B" w:rsidRDefault="00137B7B" w:rsidP="00137B7B">
            <w:pPr>
              <w:pStyle w:val="TableBullet"/>
              <w:cnfStyle w:val="000000010000" w:firstRow="0" w:lastRow="0" w:firstColumn="0" w:lastColumn="0" w:oddVBand="0" w:evenVBand="0" w:oddHBand="0" w:evenHBand="1" w:firstRowFirstColumn="0" w:firstRowLastColumn="0" w:lastRowFirstColumn="0" w:lastRowLastColumn="0"/>
            </w:pPr>
            <w:r>
              <w:t>Biodiversity.</w:t>
            </w:r>
          </w:p>
        </w:tc>
      </w:tr>
      <w:tr w:rsidR="00137B7B" w14:paraId="0344C3A1" w14:textId="77777777" w:rsidTr="392788E3">
        <w:tc>
          <w:tcPr>
            <w:cnfStyle w:val="001000000000" w:firstRow="0" w:lastRow="0" w:firstColumn="1" w:lastColumn="0" w:oddVBand="0" w:evenVBand="0" w:oddHBand="0" w:evenHBand="0" w:firstRowFirstColumn="0" w:firstRowLastColumn="0" w:lastRowFirstColumn="0" w:lastRowLastColumn="0"/>
            <w:tcW w:w="685" w:type="pct"/>
          </w:tcPr>
          <w:p w14:paraId="19447009" w14:textId="376FC61D" w:rsidR="00137B7B" w:rsidRDefault="00137B7B" w:rsidP="00137B7B">
            <w:pPr>
              <w:pStyle w:val="TableNumbers"/>
            </w:pPr>
            <w:r>
              <w:t>Brewster Wind F</w:t>
            </w:r>
            <w:r w:rsidR="00261FA5">
              <w:t>a</w:t>
            </w:r>
            <w:r>
              <w:t>rm</w:t>
            </w:r>
          </w:p>
        </w:tc>
        <w:tc>
          <w:tcPr>
            <w:tcW w:w="1011" w:type="pct"/>
          </w:tcPr>
          <w:p w14:paraId="718ACF66" w14:textId="02A716A6" w:rsidR="00137B7B" w:rsidRDefault="00137B7B" w:rsidP="00137B7B">
            <w:pPr>
              <w:pStyle w:val="TableText"/>
              <w:cnfStyle w:val="000000000000" w:firstRow="0" w:lastRow="0" w:firstColumn="0" w:lastColumn="0" w:oddVBand="0" w:evenVBand="0" w:oddHBand="0" w:evenHBand="0" w:firstRowFirstColumn="0" w:firstRowLastColumn="0" w:lastRowFirstColumn="0" w:lastRowLastColumn="0"/>
            </w:pPr>
            <w:r w:rsidRPr="00B35B67">
              <w:t>Consists of up to six wind turbine generators with an anticipated capacity of 40MW between Trawalla and Brewster. Tower heights will be up to 247m.</w:t>
            </w:r>
          </w:p>
        </w:tc>
        <w:tc>
          <w:tcPr>
            <w:tcW w:w="870" w:type="pct"/>
          </w:tcPr>
          <w:p w14:paraId="75437CDA" w14:textId="5F1C929A" w:rsidR="00137B7B" w:rsidRDefault="00137B7B" w:rsidP="00137B7B">
            <w:pPr>
              <w:pStyle w:val="TableText"/>
              <w:cnfStyle w:val="000000000000" w:firstRow="0" w:lastRow="0" w:firstColumn="0" w:lastColumn="0" w:oddVBand="0" w:evenVBand="0" w:oddHBand="0" w:evenHBand="0" w:firstRowFirstColumn="0" w:firstRowLastColumn="0" w:lastRowFirstColumn="0" w:lastRowLastColumn="0"/>
            </w:pPr>
            <w:r w:rsidRPr="00B35B67">
              <w:t>This project is located between the Western Highway and Trawalla Road, Brewster, and is approximately 14km south of Project Land. As such, potential social impacts are expected to have a spatial relationship with the Western Renewables Link Project relating to the construction workforce.</w:t>
            </w:r>
          </w:p>
        </w:tc>
        <w:tc>
          <w:tcPr>
            <w:tcW w:w="1083" w:type="pct"/>
          </w:tcPr>
          <w:p w14:paraId="3919C0B1" w14:textId="663115E8" w:rsidR="00137B7B" w:rsidRDefault="00137B7B" w:rsidP="00137B7B">
            <w:pPr>
              <w:pStyle w:val="TableText"/>
              <w:cnfStyle w:val="000000000000" w:firstRow="0" w:lastRow="0" w:firstColumn="0" w:lastColumn="0" w:oddVBand="0" w:evenVBand="0" w:oddHBand="0" w:evenHBand="0" w:firstRowFirstColumn="0" w:firstRowLastColumn="0" w:lastRowFirstColumn="0" w:lastRowLastColumn="0"/>
            </w:pPr>
            <w:r w:rsidRPr="00B35B67">
              <w:t xml:space="preserve">The planning permit application for this project was lodged with Minister for Planning in 2021 and was approved in February 2025. It is therefore likely that potential impacts will have a temporal relationship with the Western Renewables Link Project. </w:t>
            </w:r>
          </w:p>
        </w:tc>
        <w:tc>
          <w:tcPr>
            <w:tcW w:w="711" w:type="pct"/>
          </w:tcPr>
          <w:p w14:paraId="2C0205C4" w14:textId="04224EB6" w:rsidR="00137B7B" w:rsidRDefault="00137B7B" w:rsidP="00137B7B">
            <w:pPr>
              <w:pStyle w:val="TableText"/>
              <w:cnfStyle w:val="000000000000" w:firstRow="0" w:lastRow="0" w:firstColumn="0" w:lastColumn="0" w:oddVBand="0" w:evenVBand="0" w:oddHBand="0" w:evenHBand="0" w:firstRowFirstColumn="0" w:firstRowLastColumn="0" w:lastRowFirstColumn="0" w:lastRowLastColumn="0"/>
            </w:pPr>
            <w:r w:rsidRPr="00B35B67">
              <w:t>Sufficient information is publicly available as environmental impact assessments were undertaken by the project proponent as part of the planning process.</w:t>
            </w:r>
          </w:p>
        </w:tc>
        <w:tc>
          <w:tcPr>
            <w:tcW w:w="640" w:type="pct"/>
          </w:tcPr>
          <w:p w14:paraId="1F0716E4" w14:textId="77777777" w:rsidR="00137B7B" w:rsidRDefault="00137B7B" w:rsidP="00137B7B">
            <w:pPr>
              <w:pStyle w:val="TableBullet"/>
              <w:cnfStyle w:val="000000000000" w:firstRow="0" w:lastRow="0" w:firstColumn="0" w:lastColumn="0" w:oddVBand="0" w:evenVBand="0" w:oddHBand="0" w:evenHBand="0" w:firstRowFirstColumn="0" w:firstRowLastColumn="0" w:lastRowFirstColumn="0" w:lastRowLastColumn="0"/>
            </w:pPr>
            <w:r>
              <w:t>Agriculture and forestry</w:t>
            </w:r>
          </w:p>
          <w:p w14:paraId="6E05F2EE" w14:textId="77777777" w:rsidR="00137B7B" w:rsidRDefault="00137B7B" w:rsidP="00137B7B">
            <w:pPr>
              <w:pStyle w:val="TableBullet"/>
              <w:cnfStyle w:val="000000000000" w:firstRow="0" w:lastRow="0" w:firstColumn="0" w:lastColumn="0" w:oddVBand="0" w:evenVBand="0" w:oddHBand="0" w:evenHBand="0" w:firstRowFirstColumn="0" w:firstRowLastColumn="0" w:lastRowFirstColumn="0" w:lastRowLastColumn="0"/>
            </w:pPr>
            <w:r>
              <w:t>Biodiversity</w:t>
            </w:r>
          </w:p>
          <w:p w14:paraId="754586F3" w14:textId="77777777" w:rsidR="00137B7B" w:rsidRDefault="00137B7B" w:rsidP="00137B7B">
            <w:pPr>
              <w:pStyle w:val="TableBullet"/>
              <w:cnfStyle w:val="000000000000" w:firstRow="0" w:lastRow="0" w:firstColumn="0" w:lastColumn="0" w:oddVBand="0" w:evenVBand="0" w:oddHBand="0" w:evenHBand="0" w:firstRowFirstColumn="0" w:firstRowLastColumn="0" w:lastRowFirstColumn="0" w:lastRowLastColumn="0"/>
            </w:pPr>
            <w:r>
              <w:t>Landscape and visual amenity</w:t>
            </w:r>
          </w:p>
          <w:p w14:paraId="64A40445" w14:textId="0757071A" w:rsidR="00137B7B" w:rsidRDefault="00137B7B" w:rsidP="00137B7B">
            <w:pPr>
              <w:pStyle w:val="TableBullet"/>
              <w:cnfStyle w:val="000000000000" w:firstRow="0" w:lastRow="0" w:firstColumn="0" w:lastColumn="0" w:oddVBand="0" w:evenVBand="0" w:oddHBand="0" w:evenHBand="0" w:firstRowFirstColumn="0" w:firstRowLastColumn="0" w:lastRowFirstColumn="0" w:lastRowLastColumn="0"/>
            </w:pPr>
            <w:r>
              <w:t>Social.</w:t>
            </w:r>
          </w:p>
        </w:tc>
      </w:tr>
      <w:tr w:rsidR="00137B7B" w14:paraId="11734F8D" w14:textId="77777777" w:rsidTr="392788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5" w:type="pct"/>
          </w:tcPr>
          <w:p w14:paraId="0011B4EF" w14:textId="2CD290B6" w:rsidR="00137B7B" w:rsidRDefault="00137B7B" w:rsidP="00137B7B">
            <w:pPr>
              <w:pStyle w:val="TableNumbers"/>
            </w:pPr>
            <w:r>
              <w:lastRenderedPageBreak/>
              <w:t>Delahey Urban Development</w:t>
            </w:r>
          </w:p>
        </w:tc>
        <w:tc>
          <w:tcPr>
            <w:tcW w:w="1011" w:type="pct"/>
          </w:tcPr>
          <w:p w14:paraId="4256E634" w14:textId="57C90C1D" w:rsidR="00137B7B" w:rsidRDefault="00137B7B" w:rsidP="00137B7B">
            <w:pPr>
              <w:pStyle w:val="TableText"/>
              <w:cnfStyle w:val="000000010000" w:firstRow="0" w:lastRow="0" w:firstColumn="0" w:lastColumn="0" w:oddVBand="0" w:evenVBand="0" w:oddHBand="0" w:evenHBand="1" w:firstRowFirstColumn="0" w:firstRowLastColumn="0" w:lastRowFirstColumn="0" w:lastRowLastColumn="0"/>
            </w:pPr>
            <w:r w:rsidRPr="00F576A9">
              <w:t>Development and subdivision of 46.1 hectares of land in Delahey for housing and complementary mixed-uses.</w:t>
            </w:r>
          </w:p>
        </w:tc>
        <w:tc>
          <w:tcPr>
            <w:tcW w:w="870" w:type="pct"/>
          </w:tcPr>
          <w:p w14:paraId="1ACA3E44" w14:textId="56E29F28" w:rsidR="00137B7B" w:rsidRDefault="00137B7B" w:rsidP="00137B7B">
            <w:pPr>
              <w:pStyle w:val="TableText"/>
              <w:cnfStyle w:val="000000010000" w:firstRow="0" w:lastRow="0" w:firstColumn="0" w:lastColumn="0" w:oddVBand="0" w:evenVBand="0" w:oddHBand="0" w:evenHBand="1" w:firstRowFirstColumn="0" w:firstRowLastColumn="0" w:lastRowFirstColumn="0" w:lastRowLastColumn="0"/>
            </w:pPr>
            <w:r w:rsidRPr="00F576A9">
              <w:t xml:space="preserve">This project is located at 250a Taylors Road, Delahey, and has a spatial relationship with the Western Renewables Link Project as it is approximately 6km from the eastern end of Project Land. </w:t>
            </w:r>
          </w:p>
        </w:tc>
        <w:tc>
          <w:tcPr>
            <w:tcW w:w="1083" w:type="pct"/>
          </w:tcPr>
          <w:p w14:paraId="5BC37664" w14:textId="4F00AD94" w:rsidR="00137B7B" w:rsidRDefault="00137B7B" w:rsidP="00137B7B">
            <w:pPr>
              <w:pStyle w:val="TableText"/>
              <w:cnfStyle w:val="000000010000" w:firstRow="0" w:lastRow="0" w:firstColumn="0" w:lastColumn="0" w:oddVBand="0" w:evenVBand="0" w:oddHBand="0" w:evenHBand="1" w:firstRowFirstColumn="0" w:firstRowLastColumn="0" w:lastRowFirstColumn="0" w:lastRowLastColumn="0"/>
            </w:pPr>
            <w:r w:rsidRPr="00F576A9">
              <w:t>In August 2023 it was determined that an EES was not required for this project, subject to certain conditions. The timeline for this development is not yet published; however, the construction timeline is assumed to be at least 10 years. As such, potential impacts are expected to have a temporal relationship with the Western Renewables Link Project.</w:t>
            </w:r>
          </w:p>
        </w:tc>
        <w:tc>
          <w:tcPr>
            <w:tcW w:w="711" w:type="pct"/>
          </w:tcPr>
          <w:p w14:paraId="74A1C34D" w14:textId="680FDDC1" w:rsidR="00137B7B" w:rsidRDefault="00137B7B" w:rsidP="00137B7B">
            <w:pPr>
              <w:pStyle w:val="TableText"/>
              <w:cnfStyle w:val="000000010000" w:firstRow="0" w:lastRow="0" w:firstColumn="0" w:lastColumn="0" w:oddVBand="0" w:evenVBand="0" w:oddHBand="0" w:evenHBand="1" w:firstRowFirstColumn="0" w:firstRowLastColumn="0" w:lastRowFirstColumn="0" w:lastRowLastColumn="0"/>
            </w:pPr>
            <w:r w:rsidRPr="00F576A9">
              <w:t>Sufficient information is publicly available as environmental impact assessments were undertaken by the project proponent as part of the EES referral process.</w:t>
            </w:r>
          </w:p>
        </w:tc>
        <w:tc>
          <w:tcPr>
            <w:tcW w:w="640" w:type="pct"/>
          </w:tcPr>
          <w:p w14:paraId="7CCE4D2A" w14:textId="75CC7C87" w:rsidR="00137B7B" w:rsidRDefault="00137B7B" w:rsidP="00137B7B">
            <w:pPr>
              <w:pStyle w:val="TableBullet"/>
              <w:cnfStyle w:val="000000010000" w:firstRow="0" w:lastRow="0" w:firstColumn="0" w:lastColumn="0" w:oddVBand="0" w:evenVBand="0" w:oddHBand="0" w:evenHBand="1" w:firstRowFirstColumn="0" w:firstRowLastColumn="0" w:lastRowFirstColumn="0" w:lastRowLastColumn="0"/>
            </w:pPr>
            <w:r w:rsidRPr="00137B7B">
              <w:t>Biodiversity.</w:t>
            </w:r>
          </w:p>
        </w:tc>
      </w:tr>
      <w:tr w:rsidR="00137B7B" w14:paraId="5BACCDBB" w14:textId="77777777" w:rsidTr="392788E3">
        <w:tc>
          <w:tcPr>
            <w:cnfStyle w:val="001000000000" w:firstRow="0" w:lastRow="0" w:firstColumn="1" w:lastColumn="0" w:oddVBand="0" w:evenVBand="0" w:oddHBand="0" w:evenHBand="0" w:firstRowFirstColumn="0" w:firstRowLastColumn="0" w:lastRowFirstColumn="0" w:lastRowLastColumn="0"/>
            <w:tcW w:w="685" w:type="pct"/>
          </w:tcPr>
          <w:p w14:paraId="0FBFA17A" w14:textId="0725AA0E" w:rsidR="00137B7B" w:rsidRDefault="00137B7B" w:rsidP="00137B7B">
            <w:pPr>
              <w:pStyle w:val="TableNumbers"/>
            </w:pPr>
            <w:r>
              <w:t>Elaine (Akaysha) BESS</w:t>
            </w:r>
          </w:p>
        </w:tc>
        <w:tc>
          <w:tcPr>
            <w:tcW w:w="1011" w:type="pct"/>
          </w:tcPr>
          <w:p w14:paraId="45A28336" w14:textId="0AD7D06D" w:rsidR="00137B7B" w:rsidRDefault="00137B7B" w:rsidP="00137B7B">
            <w:pPr>
              <w:pStyle w:val="TableText"/>
              <w:cnfStyle w:val="000000000000" w:firstRow="0" w:lastRow="0" w:firstColumn="0" w:lastColumn="0" w:oddVBand="0" w:evenVBand="0" w:oddHBand="0" w:evenHBand="0" w:firstRowFirstColumn="0" w:firstRowLastColumn="0" w:lastRowFirstColumn="0" w:lastRowLastColumn="0"/>
            </w:pPr>
            <w:r w:rsidRPr="003941C4">
              <w:t>A 311MW Battery Energy Storage System (BESS) proposed to be developed adjacent the existing Elaine Terminal Station. The development will include battery units, associated infrastructure, grid connection, access roads, vegetation screening and security fencing.</w:t>
            </w:r>
          </w:p>
        </w:tc>
        <w:tc>
          <w:tcPr>
            <w:tcW w:w="870" w:type="pct"/>
          </w:tcPr>
          <w:p w14:paraId="069089CF" w14:textId="1463A8E3" w:rsidR="00137B7B" w:rsidRDefault="00137B7B" w:rsidP="00137B7B">
            <w:pPr>
              <w:pStyle w:val="TableText"/>
              <w:cnfStyle w:val="000000000000" w:firstRow="0" w:lastRow="0" w:firstColumn="0" w:lastColumn="0" w:oddVBand="0" w:evenVBand="0" w:oddHBand="0" w:evenHBand="0" w:firstRowFirstColumn="0" w:firstRowLastColumn="0" w:lastRowFirstColumn="0" w:lastRowLastColumn="0"/>
            </w:pPr>
            <w:r w:rsidRPr="003941C4">
              <w:t>This project connects to the Elaine Terminal Station, which is part of the Western Renewables Link Project.</w:t>
            </w:r>
          </w:p>
        </w:tc>
        <w:tc>
          <w:tcPr>
            <w:tcW w:w="1083" w:type="pct"/>
          </w:tcPr>
          <w:p w14:paraId="72037FD8" w14:textId="4E52C449" w:rsidR="00137B7B" w:rsidRDefault="00137B7B" w:rsidP="00137B7B">
            <w:pPr>
              <w:pStyle w:val="TableText"/>
              <w:cnfStyle w:val="000000000000" w:firstRow="0" w:lastRow="0" w:firstColumn="0" w:lastColumn="0" w:oddVBand="0" w:evenVBand="0" w:oddHBand="0" w:evenHBand="0" w:firstRowFirstColumn="0" w:firstRowLastColumn="0" w:lastRowFirstColumn="0" w:lastRowLastColumn="0"/>
            </w:pPr>
            <w:r w:rsidRPr="003941C4">
              <w:t>The planning permit application for this project was approved by the Minister for Planning in September 2024. No information has been released publicly on the estimated construction timeline. However, as the project aims to assist in the achievement of Victoria’s 2.6GW energy storage capacity by 2030 target, it is anticipated that there will be a temporal relationship with the Western Renewables Link Project.</w:t>
            </w:r>
          </w:p>
        </w:tc>
        <w:tc>
          <w:tcPr>
            <w:tcW w:w="711" w:type="pct"/>
          </w:tcPr>
          <w:p w14:paraId="0B4C83C6" w14:textId="58410AB8" w:rsidR="00137B7B" w:rsidRDefault="00137B7B" w:rsidP="00137B7B">
            <w:pPr>
              <w:pStyle w:val="TableText"/>
              <w:cnfStyle w:val="000000000000" w:firstRow="0" w:lastRow="0" w:firstColumn="0" w:lastColumn="0" w:oddVBand="0" w:evenVBand="0" w:oddHBand="0" w:evenHBand="0" w:firstRowFirstColumn="0" w:firstRowLastColumn="0" w:lastRowFirstColumn="0" w:lastRowLastColumn="0"/>
            </w:pPr>
            <w:r w:rsidRPr="003941C4">
              <w:t>Sufficient information is publicly available as a number of environmental impact assessments were undertaken by the project proponent as part of the planning permit application.</w:t>
            </w:r>
          </w:p>
        </w:tc>
        <w:tc>
          <w:tcPr>
            <w:tcW w:w="640" w:type="pct"/>
          </w:tcPr>
          <w:p w14:paraId="40EF51BB" w14:textId="77777777" w:rsidR="00137B7B" w:rsidRDefault="00137B7B" w:rsidP="00137B7B">
            <w:pPr>
              <w:pStyle w:val="TableBullet"/>
              <w:cnfStyle w:val="000000000000" w:firstRow="0" w:lastRow="0" w:firstColumn="0" w:lastColumn="0" w:oddVBand="0" w:evenVBand="0" w:oddHBand="0" w:evenHBand="0" w:firstRowFirstColumn="0" w:firstRowLastColumn="0" w:lastRowFirstColumn="0" w:lastRowLastColumn="0"/>
            </w:pPr>
            <w:r>
              <w:t>Bushfire</w:t>
            </w:r>
          </w:p>
          <w:p w14:paraId="381F4AFA" w14:textId="77777777" w:rsidR="00137B7B" w:rsidRDefault="00137B7B" w:rsidP="00137B7B">
            <w:pPr>
              <w:pStyle w:val="TableBullet"/>
              <w:cnfStyle w:val="000000000000" w:firstRow="0" w:lastRow="0" w:firstColumn="0" w:lastColumn="0" w:oddVBand="0" w:evenVBand="0" w:oddHBand="0" w:evenHBand="0" w:firstRowFirstColumn="0" w:firstRowLastColumn="0" w:lastRowFirstColumn="0" w:lastRowLastColumn="0"/>
            </w:pPr>
            <w:r>
              <w:t>Landscape and visual amenity</w:t>
            </w:r>
          </w:p>
          <w:p w14:paraId="238C1CB5" w14:textId="77777777" w:rsidR="00137B7B" w:rsidRDefault="00137B7B" w:rsidP="00137B7B">
            <w:pPr>
              <w:pStyle w:val="TableBullet"/>
              <w:cnfStyle w:val="000000000000" w:firstRow="0" w:lastRow="0" w:firstColumn="0" w:lastColumn="0" w:oddVBand="0" w:evenVBand="0" w:oddHBand="0" w:evenHBand="0" w:firstRowFirstColumn="0" w:firstRowLastColumn="0" w:lastRowFirstColumn="0" w:lastRowLastColumn="0"/>
            </w:pPr>
            <w:r>
              <w:t>Noise and vibration</w:t>
            </w:r>
          </w:p>
          <w:p w14:paraId="1167F19D" w14:textId="513614F5" w:rsidR="00137B7B" w:rsidRDefault="00137B7B" w:rsidP="00137B7B">
            <w:pPr>
              <w:pStyle w:val="TableBullet"/>
              <w:cnfStyle w:val="000000000000" w:firstRow="0" w:lastRow="0" w:firstColumn="0" w:lastColumn="0" w:oddVBand="0" w:evenVBand="0" w:oddHBand="0" w:evenHBand="0" w:firstRowFirstColumn="0" w:firstRowLastColumn="0" w:lastRowFirstColumn="0" w:lastRowLastColumn="0"/>
            </w:pPr>
            <w:r>
              <w:t>Transport.</w:t>
            </w:r>
          </w:p>
        </w:tc>
      </w:tr>
      <w:tr w:rsidR="00137B7B" w14:paraId="4A2EB911" w14:textId="77777777" w:rsidTr="392788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5" w:type="pct"/>
          </w:tcPr>
          <w:p w14:paraId="176D4A63" w14:textId="50C95FD6" w:rsidR="00137B7B" w:rsidRDefault="00137B7B" w:rsidP="00137B7B">
            <w:pPr>
              <w:pStyle w:val="TableNumbers"/>
            </w:pPr>
            <w:r>
              <w:t>Elaine Solar Farm</w:t>
            </w:r>
          </w:p>
        </w:tc>
        <w:tc>
          <w:tcPr>
            <w:tcW w:w="1011" w:type="pct"/>
          </w:tcPr>
          <w:p w14:paraId="56CB87EA" w14:textId="7042CC6C" w:rsidR="00137B7B" w:rsidRDefault="00137B7B" w:rsidP="00137B7B">
            <w:pPr>
              <w:pStyle w:val="TableText"/>
              <w:cnfStyle w:val="000000010000" w:firstRow="0" w:lastRow="0" w:firstColumn="0" w:lastColumn="0" w:oddVBand="0" w:evenVBand="0" w:oddHBand="0" w:evenHBand="1" w:firstRowFirstColumn="0" w:firstRowLastColumn="0" w:lastRowFirstColumn="0" w:lastRowLastColumn="0"/>
            </w:pPr>
            <w:r w:rsidRPr="00034EB9">
              <w:t>A 150 megawatt (MW) solar project and a 250 MW battery approved by the State government to be developed neighbouring the Elaine Terminal Station.</w:t>
            </w:r>
          </w:p>
        </w:tc>
        <w:tc>
          <w:tcPr>
            <w:tcW w:w="870" w:type="pct"/>
          </w:tcPr>
          <w:p w14:paraId="5929EE94" w14:textId="4DA92D9D" w:rsidR="00137B7B" w:rsidRDefault="00137B7B" w:rsidP="00137B7B">
            <w:pPr>
              <w:pStyle w:val="TableText"/>
              <w:cnfStyle w:val="000000010000" w:firstRow="0" w:lastRow="0" w:firstColumn="0" w:lastColumn="0" w:oddVBand="0" w:evenVBand="0" w:oddHBand="0" w:evenHBand="1" w:firstRowFirstColumn="0" w:firstRowLastColumn="0" w:lastRowFirstColumn="0" w:lastRowLastColumn="0"/>
            </w:pPr>
            <w:r w:rsidRPr="00034EB9">
              <w:t>This project connects to the Elaine Terminal Station, which is part of the Western Renewables Link Project.</w:t>
            </w:r>
          </w:p>
        </w:tc>
        <w:tc>
          <w:tcPr>
            <w:tcW w:w="1083" w:type="pct"/>
          </w:tcPr>
          <w:p w14:paraId="38B2840D" w14:textId="6E47CCE7" w:rsidR="00137B7B" w:rsidRDefault="00137B7B" w:rsidP="00137B7B">
            <w:pPr>
              <w:pStyle w:val="TableText"/>
              <w:cnfStyle w:val="000000010000" w:firstRow="0" w:lastRow="0" w:firstColumn="0" w:lastColumn="0" w:oddVBand="0" w:evenVBand="0" w:oddHBand="0" w:evenHBand="1" w:firstRowFirstColumn="0" w:firstRowLastColumn="0" w:lastRowFirstColumn="0" w:lastRowLastColumn="0"/>
            </w:pPr>
            <w:r w:rsidRPr="00034EB9">
              <w:t>Construction has not yet commenced, however once begun the project will have a 12-month construction timeline.</w:t>
            </w:r>
          </w:p>
        </w:tc>
        <w:tc>
          <w:tcPr>
            <w:tcW w:w="711" w:type="pct"/>
          </w:tcPr>
          <w:p w14:paraId="3380A9DC" w14:textId="538CB732" w:rsidR="00137B7B" w:rsidRDefault="00137B7B" w:rsidP="00137B7B">
            <w:pPr>
              <w:pStyle w:val="TableText"/>
              <w:cnfStyle w:val="000000010000" w:firstRow="0" w:lastRow="0" w:firstColumn="0" w:lastColumn="0" w:oddVBand="0" w:evenVBand="0" w:oddHBand="0" w:evenHBand="1" w:firstRowFirstColumn="0" w:firstRowLastColumn="0" w:lastRowFirstColumn="0" w:lastRowLastColumn="0"/>
            </w:pPr>
            <w:r w:rsidRPr="00034EB9">
              <w:t>A 150 megawatt (MW) solar project and a 250 MW battery approved by the State government to be developed neighbouring the Elaine Terminal Station.</w:t>
            </w:r>
          </w:p>
        </w:tc>
        <w:tc>
          <w:tcPr>
            <w:tcW w:w="640" w:type="pct"/>
          </w:tcPr>
          <w:p w14:paraId="23EAA2C3" w14:textId="77777777" w:rsidR="00137B7B" w:rsidRDefault="00137B7B" w:rsidP="00137B7B">
            <w:pPr>
              <w:pStyle w:val="TableBullet"/>
              <w:cnfStyle w:val="000000010000" w:firstRow="0" w:lastRow="0" w:firstColumn="0" w:lastColumn="0" w:oddVBand="0" w:evenVBand="0" w:oddHBand="0" w:evenHBand="1" w:firstRowFirstColumn="0" w:firstRowLastColumn="0" w:lastRowFirstColumn="0" w:lastRowLastColumn="0"/>
            </w:pPr>
            <w:r>
              <w:t>Contaminated land</w:t>
            </w:r>
          </w:p>
          <w:p w14:paraId="7B72CCAE" w14:textId="77777777" w:rsidR="00137B7B" w:rsidRDefault="00137B7B" w:rsidP="00137B7B">
            <w:pPr>
              <w:pStyle w:val="TableBullet"/>
              <w:cnfStyle w:val="000000010000" w:firstRow="0" w:lastRow="0" w:firstColumn="0" w:lastColumn="0" w:oddVBand="0" w:evenVBand="0" w:oddHBand="0" w:evenHBand="1" w:firstRowFirstColumn="0" w:firstRowLastColumn="0" w:lastRowFirstColumn="0" w:lastRowLastColumn="0"/>
            </w:pPr>
            <w:r>
              <w:t>Groundwater</w:t>
            </w:r>
          </w:p>
          <w:p w14:paraId="7E23381A" w14:textId="77777777" w:rsidR="00137B7B" w:rsidRDefault="00137B7B" w:rsidP="00137B7B">
            <w:pPr>
              <w:pStyle w:val="TableBullet"/>
              <w:cnfStyle w:val="000000010000" w:firstRow="0" w:lastRow="0" w:firstColumn="0" w:lastColumn="0" w:oddVBand="0" w:evenVBand="0" w:oddHBand="0" w:evenHBand="1" w:firstRowFirstColumn="0" w:firstRowLastColumn="0" w:lastRowFirstColumn="0" w:lastRowLastColumn="0"/>
            </w:pPr>
            <w:r>
              <w:t>Landscape and visual amenity</w:t>
            </w:r>
          </w:p>
          <w:p w14:paraId="282C3841" w14:textId="77777777" w:rsidR="00137B7B" w:rsidRDefault="00137B7B" w:rsidP="00137B7B">
            <w:pPr>
              <w:pStyle w:val="TableBullet"/>
              <w:cnfStyle w:val="000000010000" w:firstRow="0" w:lastRow="0" w:firstColumn="0" w:lastColumn="0" w:oddVBand="0" w:evenVBand="0" w:oddHBand="0" w:evenHBand="1" w:firstRowFirstColumn="0" w:firstRowLastColumn="0" w:lastRowFirstColumn="0" w:lastRowLastColumn="0"/>
            </w:pPr>
            <w:r>
              <w:t>Noise and vibration</w:t>
            </w:r>
          </w:p>
          <w:p w14:paraId="6A012D2B" w14:textId="4376E45D" w:rsidR="00137B7B" w:rsidRDefault="00137B7B" w:rsidP="00137B7B">
            <w:pPr>
              <w:pStyle w:val="TableBullet"/>
              <w:cnfStyle w:val="000000010000" w:firstRow="0" w:lastRow="0" w:firstColumn="0" w:lastColumn="0" w:oddVBand="0" w:evenVBand="0" w:oddHBand="0" w:evenHBand="1" w:firstRowFirstColumn="0" w:firstRowLastColumn="0" w:lastRowFirstColumn="0" w:lastRowLastColumn="0"/>
            </w:pPr>
            <w:r>
              <w:t>Surface water.</w:t>
            </w:r>
          </w:p>
        </w:tc>
      </w:tr>
      <w:tr w:rsidR="00137B7B" w14:paraId="17E75E10" w14:textId="77777777" w:rsidTr="392788E3">
        <w:tc>
          <w:tcPr>
            <w:cnfStyle w:val="001000000000" w:firstRow="0" w:lastRow="0" w:firstColumn="1" w:lastColumn="0" w:oddVBand="0" w:evenVBand="0" w:oddHBand="0" w:evenHBand="0" w:firstRowFirstColumn="0" w:firstRowLastColumn="0" w:lastRowFirstColumn="0" w:lastRowLastColumn="0"/>
            <w:tcW w:w="685" w:type="pct"/>
          </w:tcPr>
          <w:p w14:paraId="156A6621" w14:textId="72B39856" w:rsidR="00137B7B" w:rsidRDefault="00137B7B" w:rsidP="00137B7B">
            <w:pPr>
              <w:pStyle w:val="TableNumbers"/>
            </w:pPr>
            <w:r w:rsidRPr="00137B7B">
              <w:lastRenderedPageBreak/>
              <w:t>Lerderderg River Nature Trail</w:t>
            </w:r>
          </w:p>
        </w:tc>
        <w:tc>
          <w:tcPr>
            <w:tcW w:w="1011" w:type="pct"/>
          </w:tcPr>
          <w:p w14:paraId="2DDCBAE2" w14:textId="1EE87B50" w:rsidR="00137B7B" w:rsidRDefault="00137B7B" w:rsidP="00DC42C3">
            <w:pPr>
              <w:pStyle w:val="TableText"/>
              <w:keepNext/>
              <w:keepLines/>
              <w:cnfStyle w:val="000000000000" w:firstRow="0" w:lastRow="0" w:firstColumn="0" w:lastColumn="0" w:oddVBand="0" w:evenVBand="0" w:oddHBand="0" w:evenHBand="0" w:firstRowFirstColumn="0" w:firstRowLastColumn="0" w:lastRowFirstColumn="0" w:lastRowLastColumn="0"/>
            </w:pPr>
            <w:r w:rsidRPr="004C4900">
              <w:t>A new 5km trail that would extend the Aqualink hike and bike network through to MacKenzies Flat picnic area. This would highlight the geological values of this area, including exposed Permian glacial rocks along the Lerderderg Riverbeds in Darley.</w:t>
            </w:r>
          </w:p>
        </w:tc>
        <w:tc>
          <w:tcPr>
            <w:tcW w:w="870" w:type="pct"/>
          </w:tcPr>
          <w:p w14:paraId="07FA411A" w14:textId="57CF672E" w:rsidR="00137B7B" w:rsidRDefault="00137B7B" w:rsidP="00137B7B">
            <w:pPr>
              <w:pStyle w:val="TableText"/>
              <w:cnfStyle w:val="000000000000" w:firstRow="0" w:lastRow="0" w:firstColumn="0" w:lastColumn="0" w:oddVBand="0" w:evenVBand="0" w:oddHBand="0" w:evenHBand="0" w:firstRowFirstColumn="0" w:firstRowLastColumn="0" w:lastRowFirstColumn="0" w:lastRowLastColumn="0"/>
            </w:pPr>
            <w:r w:rsidRPr="004C4900">
              <w:t xml:space="preserve">Lerderderg River Nature Reserve and a section of this River Nature trail has a spatial relationship with the Western Renewables Link Project as they are located within Project Land, to the east of Darley. </w:t>
            </w:r>
          </w:p>
        </w:tc>
        <w:tc>
          <w:tcPr>
            <w:tcW w:w="1083" w:type="pct"/>
          </w:tcPr>
          <w:p w14:paraId="26A0437C" w14:textId="4AB6359D" w:rsidR="00137B7B" w:rsidRDefault="00137B7B" w:rsidP="00137B7B">
            <w:pPr>
              <w:pStyle w:val="TableText"/>
              <w:cnfStyle w:val="000000000000" w:firstRow="0" w:lastRow="0" w:firstColumn="0" w:lastColumn="0" w:oddVBand="0" w:evenVBand="0" w:oddHBand="0" w:evenHBand="0" w:firstRowFirstColumn="0" w:firstRowLastColumn="0" w:lastRowFirstColumn="0" w:lastRowLastColumn="0"/>
            </w:pPr>
            <w:r w:rsidRPr="004C4900">
              <w:t>Following the announcement of this project no information regarding the approvals process or construction timeline has been publicly released. However, it is assumed the opening of the nature trail will occur within the life of the Western Renewables Link Project, therefore, it is considered that the project has a temporal relationship with the Western Renewables Link Project.</w:t>
            </w:r>
          </w:p>
        </w:tc>
        <w:tc>
          <w:tcPr>
            <w:tcW w:w="711" w:type="pct"/>
          </w:tcPr>
          <w:p w14:paraId="6D49B8FF" w14:textId="4B33A313" w:rsidR="00137B7B" w:rsidRDefault="00137B7B" w:rsidP="00137B7B">
            <w:pPr>
              <w:pStyle w:val="TableText"/>
              <w:cnfStyle w:val="000000000000" w:firstRow="0" w:lastRow="0" w:firstColumn="0" w:lastColumn="0" w:oddVBand="0" w:evenVBand="0" w:oddHBand="0" w:evenHBand="0" w:firstRowFirstColumn="0" w:firstRowLastColumn="0" w:lastRowFirstColumn="0" w:lastRowLastColumn="0"/>
            </w:pPr>
            <w:r w:rsidRPr="004C4900">
              <w:t>Sufficient information is publicly available.</w:t>
            </w:r>
          </w:p>
        </w:tc>
        <w:tc>
          <w:tcPr>
            <w:tcW w:w="640" w:type="pct"/>
          </w:tcPr>
          <w:p w14:paraId="61CBA13D" w14:textId="77777777" w:rsidR="00137B7B" w:rsidRDefault="00137B7B" w:rsidP="00137B7B">
            <w:pPr>
              <w:pStyle w:val="TableBullet"/>
              <w:cnfStyle w:val="000000000000" w:firstRow="0" w:lastRow="0" w:firstColumn="0" w:lastColumn="0" w:oddVBand="0" w:evenVBand="0" w:oddHBand="0" w:evenHBand="0" w:firstRowFirstColumn="0" w:firstRowLastColumn="0" w:lastRowFirstColumn="0" w:lastRowLastColumn="0"/>
            </w:pPr>
            <w:r>
              <w:t>Aboriginal cultural heritage</w:t>
            </w:r>
          </w:p>
          <w:p w14:paraId="5BF59047" w14:textId="77777777" w:rsidR="00137B7B" w:rsidRDefault="00137B7B" w:rsidP="00137B7B">
            <w:pPr>
              <w:pStyle w:val="TableBullet"/>
              <w:cnfStyle w:val="000000000000" w:firstRow="0" w:lastRow="0" w:firstColumn="0" w:lastColumn="0" w:oddVBand="0" w:evenVBand="0" w:oddHBand="0" w:evenHBand="0" w:firstRowFirstColumn="0" w:firstRowLastColumn="0" w:lastRowFirstColumn="0" w:lastRowLastColumn="0"/>
            </w:pPr>
            <w:r>
              <w:t>Bushfire</w:t>
            </w:r>
          </w:p>
          <w:p w14:paraId="76ACDBF1" w14:textId="77777777" w:rsidR="00137B7B" w:rsidRDefault="00137B7B" w:rsidP="00137B7B">
            <w:pPr>
              <w:pStyle w:val="TableBullet"/>
              <w:cnfStyle w:val="000000000000" w:firstRow="0" w:lastRow="0" w:firstColumn="0" w:lastColumn="0" w:oddVBand="0" w:evenVBand="0" w:oddHBand="0" w:evenHBand="0" w:firstRowFirstColumn="0" w:firstRowLastColumn="0" w:lastRowFirstColumn="0" w:lastRowLastColumn="0"/>
            </w:pPr>
            <w:r>
              <w:t>Geology and soils</w:t>
            </w:r>
          </w:p>
          <w:p w14:paraId="404AFD62" w14:textId="607E98D2" w:rsidR="00137B7B" w:rsidRDefault="00137B7B" w:rsidP="00137B7B">
            <w:pPr>
              <w:pStyle w:val="TableBullet"/>
              <w:cnfStyle w:val="000000000000" w:firstRow="0" w:lastRow="0" w:firstColumn="0" w:lastColumn="0" w:oddVBand="0" w:evenVBand="0" w:oddHBand="0" w:evenHBand="0" w:firstRowFirstColumn="0" w:firstRowLastColumn="0" w:lastRowFirstColumn="0" w:lastRowLastColumn="0"/>
            </w:pPr>
            <w:r>
              <w:t>Landscape and visual amenity.</w:t>
            </w:r>
          </w:p>
        </w:tc>
      </w:tr>
      <w:tr w:rsidR="00137B7B" w14:paraId="1D7F7454" w14:textId="77777777" w:rsidTr="392788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5" w:type="pct"/>
          </w:tcPr>
          <w:p w14:paraId="6E45C79A" w14:textId="2A5979D0" w:rsidR="00137B7B" w:rsidRDefault="00137B7B" w:rsidP="00137B7B">
            <w:pPr>
              <w:pStyle w:val="TableNumbers"/>
            </w:pPr>
            <w:r w:rsidRPr="00137B7B">
              <w:t>Lerderderg-Wombat National Park</w:t>
            </w:r>
          </w:p>
        </w:tc>
        <w:tc>
          <w:tcPr>
            <w:tcW w:w="1011" w:type="pct"/>
          </w:tcPr>
          <w:p w14:paraId="060745D3" w14:textId="06D02E6D" w:rsidR="00137B7B" w:rsidRDefault="00137B7B" w:rsidP="00137B7B">
            <w:pPr>
              <w:pStyle w:val="TableText"/>
              <w:cnfStyle w:val="000000010000" w:firstRow="0" w:lastRow="0" w:firstColumn="0" w:lastColumn="0" w:oddVBand="0" w:evenVBand="0" w:oddHBand="0" w:evenHBand="1" w:firstRowFirstColumn="0" w:firstRowLastColumn="0" w:lastRowFirstColumn="0" w:lastRowLastColumn="0"/>
            </w:pPr>
            <w:r w:rsidRPr="00657142">
              <w:t>Lerderderg-Wombat National Park, proposed to be created by linking existing Lerderderg State Park and much of the existing Wombat State Forest to create a new national park covering more than 44,000 hectares between Daylesford and Bacchus Marsh. This will include upgrading campgrounds and new and upgraded walking trails and facilities.</w:t>
            </w:r>
          </w:p>
        </w:tc>
        <w:tc>
          <w:tcPr>
            <w:tcW w:w="870" w:type="pct"/>
          </w:tcPr>
          <w:p w14:paraId="600E7243" w14:textId="7B91ADC3" w:rsidR="00137B7B" w:rsidRDefault="00137B7B" w:rsidP="00137B7B">
            <w:pPr>
              <w:pStyle w:val="TableText"/>
              <w:cnfStyle w:val="000000010000" w:firstRow="0" w:lastRow="0" w:firstColumn="0" w:lastColumn="0" w:oddVBand="0" w:evenVBand="0" w:oddHBand="0" w:evenHBand="1" w:firstRowFirstColumn="0" w:firstRowLastColumn="0" w:lastRowFirstColumn="0" w:lastRowLastColumn="0"/>
            </w:pPr>
            <w:r w:rsidRPr="00657142">
              <w:t>This project is located directly south of Project Land, between Lerderderg State Park and Wombat National Park. As such, it has a spatial relationship with the Western Renewables Link Project.</w:t>
            </w:r>
          </w:p>
        </w:tc>
        <w:tc>
          <w:tcPr>
            <w:tcW w:w="1083" w:type="pct"/>
          </w:tcPr>
          <w:p w14:paraId="2542608A" w14:textId="1EC40B73" w:rsidR="00137B7B" w:rsidRDefault="00137B7B" w:rsidP="00137B7B">
            <w:pPr>
              <w:pStyle w:val="TableText"/>
              <w:cnfStyle w:val="000000010000" w:firstRow="0" w:lastRow="0" w:firstColumn="0" w:lastColumn="0" w:oddVBand="0" w:evenVBand="0" w:oddHBand="0" w:evenHBand="1" w:firstRowFirstColumn="0" w:firstRowLastColumn="0" w:lastRowFirstColumn="0" w:lastRowLastColumn="0"/>
            </w:pPr>
            <w:r w:rsidRPr="00657142">
              <w:t xml:space="preserve">Following the announcement of this project no information regarding the approvals process or construction timeline has been publicly released. However, it is assumed the opening of the existing parkland as ‘Lerderderg-Wombat National Park’ will occur within the life of the Western Renewables Link Project, bringing an increase of human activity to the area, therefore, it is considered the project has a temporal relationship with the Western Renewables Link Project. </w:t>
            </w:r>
          </w:p>
        </w:tc>
        <w:tc>
          <w:tcPr>
            <w:tcW w:w="711" w:type="pct"/>
          </w:tcPr>
          <w:p w14:paraId="7E7E4CB2" w14:textId="61F80D1F" w:rsidR="00137B7B" w:rsidRDefault="00137B7B" w:rsidP="00137B7B">
            <w:pPr>
              <w:pStyle w:val="TableText"/>
              <w:cnfStyle w:val="000000010000" w:firstRow="0" w:lastRow="0" w:firstColumn="0" w:lastColumn="0" w:oddVBand="0" w:evenVBand="0" w:oddHBand="0" w:evenHBand="1" w:firstRowFirstColumn="0" w:firstRowLastColumn="0" w:lastRowFirstColumn="0" w:lastRowLastColumn="0"/>
            </w:pPr>
            <w:r w:rsidRPr="00657142">
              <w:t>Sufficient information is publicly available.</w:t>
            </w:r>
          </w:p>
        </w:tc>
        <w:tc>
          <w:tcPr>
            <w:tcW w:w="640" w:type="pct"/>
          </w:tcPr>
          <w:p w14:paraId="3DECF2C6" w14:textId="77777777" w:rsidR="00137B7B" w:rsidRDefault="00137B7B" w:rsidP="00137B7B">
            <w:pPr>
              <w:pStyle w:val="TableBullet"/>
              <w:cnfStyle w:val="000000010000" w:firstRow="0" w:lastRow="0" w:firstColumn="0" w:lastColumn="0" w:oddVBand="0" w:evenVBand="0" w:oddHBand="0" w:evenHBand="1" w:firstRowFirstColumn="0" w:firstRowLastColumn="0" w:lastRowFirstColumn="0" w:lastRowLastColumn="0"/>
            </w:pPr>
            <w:r>
              <w:t>Aboriginal cultural heritage</w:t>
            </w:r>
          </w:p>
          <w:p w14:paraId="4E513C34" w14:textId="462A78D6" w:rsidR="00137B7B" w:rsidRDefault="00137B7B" w:rsidP="00137B7B">
            <w:pPr>
              <w:pStyle w:val="TableBullet"/>
              <w:cnfStyle w:val="000000010000" w:firstRow="0" w:lastRow="0" w:firstColumn="0" w:lastColumn="0" w:oddVBand="0" w:evenVBand="0" w:oddHBand="0" w:evenHBand="1" w:firstRowFirstColumn="0" w:firstRowLastColumn="0" w:lastRowFirstColumn="0" w:lastRowLastColumn="0"/>
            </w:pPr>
            <w:r>
              <w:t>Bushfire.</w:t>
            </w:r>
          </w:p>
        </w:tc>
      </w:tr>
      <w:tr w:rsidR="00137B7B" w14:paraId="4428C6D5" w14:textId="77777777" w:rsidTr="392788E3">
        <w:tc>
          <w:tcPr>
            <w:cnfStyle w:val="001000000000" w:firstRow="0" w:lastRow="0" w:firstColumn="1" w:lastColumn="0" w:oddVBand="0" w:evenVBand="0" w:oddHBand="0" w:evenHBand="0" w:firstRowFirstColumn="0" w:firstRowLastColumn="0" w:lastRowFirstColumn="0" w:lastRowLastColumn="0"/>
            <w:tcW w:w="685" w:type="pct"/>
          </w:tcPr>
          <w:p w14:paraId="0A6D9C88" w14:textId="78737479" w:rsidR="00137B7B" w:rsidRDefault="00137B7B" w:rsidP="00137B7B">
            <w:pPr>
              <w:pStyle w:val="TableNumbers"/>
            </w:pPr>
            <w:r w:rsidRPr="00137B7B">
              <w:t>Melbourne Airport Business Park (MABP) – Sky Road West Warehouse Developments</w:t>
            </w:r>
          </w:p>
        </w:tc>
        <w:tc>
          <w:tcPr>
            <w:tcW w:w="1011" w:type="pct"/>
          </w:tcPr>
          <w:p w14:paraId="2A1AC468" w14:textId="7C9E6431" w:rsidR="00137B7B" w:rsidRDefault="00137B7B" w:rsidP="00137B7B">
            <w:pPr>
              <w:pStyle w:val="TableText"/>
              <w:cnfStyle w:val="000000000000" w:firstRow="0" w:lastRow="0" w:firstColumn="0" w:lastColumn="0" w:oddVBand="0" w:evenVBand="0" w:oddHBand="0" w:evenHBand="0" w:firstRowFirstColumn="0" w:firstRowLastColumn="0" w:lastRowFirstColumn="0" w:lastRowLastColumn="0"/>
            </w:pPr>
            <w:r w:rsidRPr="00624324">
              <w:t>25 hectares of land to construct manufacturing, logistics, and industrial warehouse units within the Melbourne Airport Business Park - Sky Road area.</w:t>
            </w:r>
          </w:p>
        </w:tc>
        <w:tc>
          <w:tcPr>
            <w:tcW w:w="870" w:type="pct"/>
          </w:tcPr>
          <w:p w14:paraId="5FED89B2" w14:textId="6376AD6D" w:rsidR="00137B7B" w:rsidRDefault="00137B7B" w:rsidP="00137B7B">
            <w:pPr>
              <w:pStyle w:val="TableText"/>
              <w:cnfStyle w:val="000000000000" w:firstRow="0" w:lastRow="0" w:firstColumn="0" w:lastColumn="0" w:oddVBand="0" w:evenVBand="0" w:oddHBand="0" w:evenHBand="0" w:firstRowFirstColumn="0" w:firstRowLastColumn="0" w:lastRowFirstColumn="0" w:lastRowLastColumn="0"/>
            </w:pPr>
            <w:r w:rsidRPr="00624324">
              <w:t>This project is located approximately 9km east of the Project Land; as such, potential impacts are expected to have a spatial relationship with the Western Renewables Link Project.</w:t>
            </w:r>
          </w:p>
        </w:tc>
        <w:tc>
          <w:tcPr>
            <w:tcW w:w="1083" w:type="pct"/>
          </w:tcPr>
          <w:p w14:paraId="36C8492E" w14:textId="5AE811BA" w:rsidR="00137B7B" w:rsidRDefault="00137B7B" w:rsidP="00137B7B">
            <w:pPr>
              <w:pStyle w:val="TableText"/>
              <w:cnfStyle w:val="000000000000" w:firstRow="0" w:lastRow="0" w:firstColumn="0" w:lastColumn="0" w:oddVBand="0" w:evenVBand="0" w:oddHBand="0" w:evenHBand="0" w:firstRowFirstColumn="0" w:firstRowLastColumn="0" w:lastRowFirstColumn="0" w:lastRowLastColumn="0"/>
            </w:pPr>
            <w:r w:rsidRPr="00624324">
              <w:t>This project is undertaking assessment under the Commonwealth EPBC Act and requires approval. Construction is anticipated to be completed in June 2034. As such, potential impacts are expected to have minimal or no temporal relationship with the Western Renewables Link Project.</w:t>
            </w:r>
          </w:p>
        </w:tc>
        <w:tc>
          <w:tcPr>
            <w:tcW w:w="711" w:type="pct"/>
          </w:tcPr>
          <w:p w14:paraId="3CAC498B" w14:textId="13FCF253" w:rsidR="00137B7B" w:rsidRDefault="00137B7B" w:rsidP="00137B7B">
            <w:pPr>
              <w:pStyle w:val="TableText"/>
              <w:cnfStyle w:val="000000000000" w:firstRow="0" w:lastRow="0" w:firstColumn="0" w:lastColumn="0" w:oddVBand="0" w:evenVBand="0" w:oddHBand="0" w:evenHBand="0" w:firstRowFirstColumn="0" w:firstRowLastColumn="0" w:lastRowFirstColumn="0" w:lastRowLastColumn="0"/>
            </w:pPr>
            <w:r w:rsidRPr="00624324">
              <w:t>Sufficient information is publicly available and environmental impact assessments were undertaken by the project proponent as part of the EPBC Act referral.</w:t>
            </w:r>
          </w:p>
        </w:tc>
        <w:tc>
          <w:tcPr>
            <w:tcW w:w="640" w:type="pct"/>
          </w:tcPr>
          <w:p w14:paraId="388E3F8D" w14:textId="5D7EB4EB" w:rsidR="00137B7B" w:rsidRDefault="00137B7B" w:rsidP="00137B7B">
            <w:pPr>
              <w:pStyle w:val="TableText"/>
              <w:cnfStyle w:val="000000000000" w:firstRow="0" w:lastRow="0" w:firstColumn="0" w:lastColumn="0" w:oddVBand="0" w:evenVBand="0" w:oddHBand="0" w:evenHBand="0" w:firstRowFirstColumn="0" w:firstRowLastColumn="0" w:lastRowFirstColumn="0" w:lastRowLastColumn="0"/>
            </w:pPr>
            <w:r w:rsidRPr="00137B7B">
              <w:t>None identified.</w:t>
            </w:r>
          </w:p>
        </w:tc>
      </w:tr>
      <w:tr w:rsidR="00137B7B" w14:paraId="72732EF9" w14:textId="77777777" w:rsidTr="392788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5" w:type="pct"/>
          </w:tcPr>
          <w:p w14:paraId="2B48E0CB" w14:textId="7ED10372" w:rsidR="00137B7B" w:rsidRDefault="00137B7B" w:rsidP="00137B7B">
            <w:pPr>
              <w:pStyle w:val="TableNumbers"/>
            </w:pPr>
            <w:r w:rsidRPr="00137B7B">
              <w:lastRenderedPageBreak/>
              <w:t>Melbourne Renewable Energy Hub</w:t>
            </w:r>
          </w:p>
        </w:tc>
        <w:tc>
          <w:tcPr>
            <w:tcW w:w="1011" w:type="pct"/>
          </w:tcPr>
          <w:p w14:paraId="25E49D7F" w14:textId="2F581EAD" w:rsidR="00137B7B" w:rsidRDefault="00137B7B" w:rsidP="00137B7B">
            <w:pPr>
              <w:pStyle w:val="TableText"/>
              <w:cnfStyle w:val="000000010000" w:firstRow="0" w:lastRow="0" w:firstColumn="0" w:lastColumn="0" w:oddVBand="0" w:evenVBand="0" w:oddHBand="0" w:evenHBand="1" w:firstRowFirstColumn="0" w:firstRowLastColumn="0" w:lastRowFirstColumn="0" w:lastRowLastColumn="0"/>
            </w:pPr>
            <w:r w:rsidRPr="00962015">
              <w:t>A battery project that will store wind, hydro and solar energy from regional Victoria and will connect into the adjacent Sydenham Terminal Station. It includes a 12.5MW solar farm to recover battery efficiency losses and ensure low cost and ‘net-zero emission’ operations of the Battery Energy Storage System.</w:t>
            </w:r>
          </w:p>
        </w:tc>
        <w:tc>
          <w:tcPr>
            <w:tcW w:w="870" w:type="pct"/>
          </w:tcPr>
          <w:p w14:paraId="4E7ACB21" w14:textId="629D9096" w:rsidR="00137B7B" w:rsidRDefault="00137B7B" w:rsidP="00137B7B">
            <w:pPr>
              <w:pStyle w:val="TableText"/>
              <w:cnfStyle w:val="000000010000" w:firstRow="0" w:lastRow="0" w:firstColumn="0" w:lastColumn="0" w:oddVBand="0" w:evenVBand="0" w:oddHBand="0" w:evenHBand="1" w:firstRowFirstColumn="0" w:firstRowLastColumn="0" w:lastRowFirstColumn="0" w:lastRowLastColumn="0"/>
            </w:pPr>
            <w:r w:rsidRPr="00962015">
              <w:t xml:space="preserve">This project is located at 77-347 Holden Rd, Plumpton, and is within and directly adjacent to Project Land. As such, potential impacts are expected to have a spatial relationship with the Western Renewables Link Project. </w:t>
            </w:r>
          </w:p>
        </w:tc>
        <w:tc>
          <w:tcPr>
            <w:tcW w:w="1083" w:type="pct"/>
          </w:tcPr>
          <w:p w14:paraId="57CFA174" w14:textId="51C0BE1B" w:rsidR="00137B7B" w:rsidRDefault="00137B7B" w:rsidP="00137B7B">
            <w:pPr>
              <w:pStyle w:val="TableText"/>
              <w:cnfStyle w:val="000000010000" w:firstRow="0" w:lastRow="0" w:firstColumn="0" w:lastColumn="0" w:oddVBand="0" w:evenVBand="0" w:oddHBand="0" w:evenHBand="1" w:firstRowFirstColumn="0" w:firstRowLastColumn="0" w:lastRowFirstColumn="0" w:lastRowLastColumn="0"/>
            </w:pPr>
            <w:r w:rsidRPr="00962015">
              <w:t>This project is anticipated to become operational in 2025. As such, there may be overlap in construction activities with the Western Renewables Link Project and it is considered that a temporal relationship exists.</w:t>
            </w:r>
          </w:p>
        </w:tc>
        <w:tc>
          <w:tcPr>
            <w:tcW w:w="711" w:type="pct"/>
          </w:tcPr>
          <w:p w14:paraId="5371D1A1" w14:textId="6A49F60F" w:rsidR="00137B7B" w:rsidRDefault="00137B7B" w:rsidP="00137B7B">
            <w:pPr>
              <w:pStyle w:val="TableText"/>
              <w:cnfStyle w:val="000000010000" w:firstRow="0" w:lastRow="0" w:firstColumn="0" w:lastColumn="0" w:oddVBand="0" w:evenVBand="0" w:oddHBand="0" w:evenHBand="1" w:firstRowFirstColumn="0" w:firstRowLastColumn="0" w:lastRowFirstColumn="0" w:lastRowLastColumn="0"/>
            </w:pPr>
            <w:r w:rsidRPr="00962015">
              <w:t>Sufficient information is publicly available and environmental impact assessments were undertaken by the project proponent as part of the EPBC referral.</w:t>
            </w:r>
          </w:p>
        </w:tc>
        <w:tc>
          <w:tcPr>
            <w:tcW w:w="640" w:type="pct"/>
          </w:tcPr>
          <w:p w14:paraId="4464CC66" w14:textId="77777777" w:rsidR="00137B7B" w:rsidRDefault="00137B7B" w:rsidP="00137B7B">
            <w:pPr>
              <w:pStyle w:val="TableBullet"/>
              <w:cnfStyle w:val="000000010000" w:firstRow="0" w:lastRow="0" w:firstColumn="0" w:lastColumn="0" w:oddVBand="0" w:evenVBand="0" w:oddHBand="0" w:evenHBand="1" w:firstRowFirstColumn="0" w:firstRowLastColumn="0" w:lastRowFirstColumn="0" w:lastRowLastColumn="0"/>
            </w:pPr>
            <w:r>
              <w:t>Aboriginal cultural heritage</w:t>
            </w:r>
          </w:p>
          <w:p w14:paraId="6A022C89" w14:textId="77777777" w:rsidR="00137B7B" w:rsidRDefault="00137B7B" w:rsidP="00137B7B">
            <w:pPr>
              <w:pStyle w:val="TableBullet"/>
              <w:cnfStyle w:val="000000010000" w:firstRow="0" w:lastRow="0" w:firstColumn="0" w:lastColumn="0" w:oddVBand="0" w:evenVBand="0" w:oddHBand="0" w:evenHBand="1" w:firstRowFirstColumn="0" w:firstRowLastColumn="0" w:lastRowFirstColumn="0" w:lastRowLastColumn="0"/>
            </w:pPr>
            <w:r>
              <w:t>Biodiversity</w:t>
            </w:r>
          </w:p>
          <w:p w14:paraId="7073688C" w14:textId="77777777" w:rsidR="00137B7B" w:rsidRDefault="00137B7B" w:rsidP="00137B7B">
            <w:pPr>
              <w:pStyle w:val="TableBullet"/>
              <w:cnfStyle w:val="000000010000" w:firstRow="0" w:lastRow="0" w:firstColumn="0" w:lastColumn="0" w:oddVBand="0" w:evenVBand="0" w:oddHBand="0" w:evenHBand="1" w:firstRowFirstColumn="0" w:firstRowLastColumn="0" w:lastRowFirstColumn="0" w:lastRowLastColumn="0"/>
            </w:pPr>
            <w:r>
              <w:t>Bushfire</w:t>
            </w:r>
          </w:p>
          <w:p w14:paraId="167EA877" w14:textId="77777777" w:rsidR="00137B7B" w:rsidRDefault="00137B7B" w:rsidP="00137B7B">
            <w:pPr>
              <w:pStyle w:val="TableBullet"/>
              <w:cnfStyle w:val="000000010000" w:firstRow="0" w:lastRow="0" w:firstColumn="0" w:lastColumn="0" w:oddVBand="0" w:evenVBand="0" w:oddHBand="0" w:evenHBand="1" w:firstRowFirstColumn="0" w:firstRowLastColumn="0" w:lastRowFirstColumn="0" w:lastRowLastColumn="0"/>
            </w:pPr>
            <w:r>
              <w:t>Geology and soils</w:t>
            </w:r>
          </w:p>
          <w:p w14:paraId="14119C66" w14:textId="77777777" w:rsidR="00137B7B" w:rsidRDefault="00137B7B" w:rsidP="00137B7B">
            <w:pPr>
              <w:pStyle w:val="TableBullet"/>
              <w:cnfStyle w:val="000000010000" w:firstRow="0" w:lastRow="0" w:firstColumn="0" w:lastColumn="0" w:oddVBand="0" w:evenVBand="0" w:oddHBand="0" w:evenHBand="1" w:firstRowFirstColumn="0" w:firstRowLastColumn="0" w:lastRowFirstColumn="0" w:lastRowLastColumn="0"/>
            </w:pPr>
            <w:r>
              <w:t>Landscape and visual amenity</w:t>
            </w:r>
          </w:p>
          <w:p w14:paraId="02A9AD41" w14:textId="77777777" w:rsidR="00137B7B" w:rsidRDefault="00137B7B" w:rsidP="00137B7B">
            <w:pPr>
              <w:pStyle w:val="TableBullet"/>
              <w:cnfStyle w:val="000000010000" w:firstRow="0" w:lastRow="0" w:firstColumn="0" w:lastColumn="0" w:oddVBand="0" w:evenVBand="0" w:oddHBand="0" w:evenHBand="1" w:firstRowFirstColumn="0" w:firstRowLastColumn="0" w:lastRowFirstColumn="0" w:lastRowLastColumn="0"/>
            </w:pPr>
            <w:r>
              <w:t>Noise and vibration</w:t>
            </w:r>
          </w:p>
          <w:p w14:paraId="426852EE" w14:textId="77777777" w:rsidR="00137B7B" w:rsidRDefault="00137B7B" w:rsidP="00137B7B">
            <w:pPr>
              <w:pStyle w:val="TableBullet"/>
              <w:cnfStyle w:val="000000010000" w:firstRow="0" w:lastRow="0" w:firstColumn="0" w:lastColumn="0" w:oddVBand="0" w:evenVBand="0" w:oddHBand="0" w:evenHBand="1" w:firstRowFirstColumn="0" w:firstRowLastColumn="0" w:lastRowFirstColumn="0" w:lastRowLastColumn="0"/>
            </w:pPr>
            <w:r>
              <w:t>Social</w:t>
            </w:r>
          </w:p>
          <w:p w14:paraId="5083FC4E" w14:textId="2C0F4122" w:rsidR="00137B7B" w:rsidRDefault="00137B7B" w:rsidP="00137B7B">
            <w:pPr>
              <w:pStyle w:val="TableBullet"/>
              <w:cnfStyle w:val="000000010000" w:firstRow="0" w:lastRow="0" w:firstColumn="0" w:lastColumn="0" w:oddVBand="0" w:evenVBand="0" w:oddHBand="0" w:evenHBand="1" w:firstRowFirstColumn="0" w:firstRowLastColumn="0" w:lastRowFirstColumn="0" w:lastRowLastColumn="0"/>
            </w:pPr>
            <w:r>
              <w:t>Surface water</w:t>
            </w:r>
            <w:r w:rsidR="002A1474">
              <w:t>.</w:t>
            </w:r>
          </w:p>
        </w:tc>
      </w:tr>
      <w:tr w:rsidR="00137B7B" w14:paraId="7DCFF5B3" w14:textId="77777777" w:rsidTr="392788E3">
        <w:tc>
          <w:tcPr>
            <w:cnfStyle w:val="001000000000" w:firstRow="0" w:lastRow="0" w:firstColumn="1" w:lastColumn="0" w:oddVBand="0" w:evenVBand="0" w:oddHBand="0" w:evenHBand="0" w:firstRowFirstColumn="0" w:firstRowLastColumn="0" w:lastRowFirstColumn="0" w:lastRowLastColumn="0"/>
            <w:tcW w:w="685" w:type="pct"/>
          </w:tcPr>
          <w:p w14:paraId="1E711770" w14:textId="179941AA" w:rsidR="00137B7B" w:rsidRPr="00137B7B" w:rsidRDefault="00137B7B" w:rsidP="00137B7B">
            <w:pPr>
              <w:pStyle w:val="TableNumbers"/>
            </w:pPr>
            <w:r w:rsidRPr="00137B7B">
              <w:t>Merrimu Precinct Structure Plan (PSP)/Bacchus Marsh Urban Growth Framework</w:t>
            </w:r>
          </w:p>
        </w:tc>
        <w:tc>
          <w:tcPr>
            <w:tcW w:w="1011" w:type="pct"/>
          </w:tcPr>
          <w:p w14:paraId="739CE83E" w14:textId="6848C3EA" w:rsidR="00137B7B" w:rsidRPr="00962015" w:rsidRDefault="00137B7B" w:rsidP="00137B7B">
            <w:pPr>
              <w:pStyle w:val="TableText"/>
              <w:cnfStyle w:val="000000000000" w:firstRow="0" w:lastRow="0" w:firstColumn="0" w:lastColumn="0" w:oddVBand="0" w:evenVBand="0" w:oddHBand="0" w:evenHBand="0" w:firstRowFirstColumn="0" w:firstRowLastColumn="0" w:lastRowFirstColumn="0" w:lastRowLastColumn="0"/>
            </w:pPr>
            <w:r w:rsidRPr="00670462">
              <w:t xml:space="preserve">A proposed 7,200 lot residential precinct near Bacchus Marsh, north-west of Melbourne under the Bacchus Marsh Urban Growth Framework. This framework identifies new areas for jobs, housing and infrastructure, while protecting valuable cultural and environmental assets. </w:t>
            </w:r>
          </w:p>
        </w:tc>
        <w:tc>
          <w:tcPr>
            <w:tcW w:w="870" w:type="pct"/>
          </w:tcPr>
          <w:p w14:paraId="65869A71" w14:textId="4A90E8F6" w:rsidR="00137B7B" w:rsidRPr="00962015" w:rsidRDefault="00137B7B" w:rsidP="00137B7B">
            <w:pPr>
              <w:pStyle w:val="TableText"/>
              <w:cnfStyle w:val="000000000000" w:firstRow="0" w:lastRow="0" w:firstColumn="0" w:lastColumn="0" w:oddVBand="0" w:evenVBand="0" w:oddHBand="0" w:evenHBand="0" w:firstRowFirstColumn="0" w:firstRowLastColumn="0" w:lastRowFirstColumn="0" w:lastRowLastColumn="0"/>
            </w:pPr>
            <w:r w:rsidRPr="00670462">
              <w:t>The northern-most section of this project intersects with the Western Renewables Link Project in Merrimu; therefore, has a spatial relationship with the Western Renewables Link Project.</w:t>
            </w:r>
          </w:p>
        </w:tc>
        <w:tc>
          <w:tcPr>
            <w:tcW w:w="1083" w:type="pct"/>
          </w:tcPr>
          <w:p w14:paraId="77DFCE12" w14:textId="3445EFFF" w:rsidR="00137B7B" w:rsidRPr="00962015" w:rsidRDefault="00137B7B" w:rsidP="00137B7B">
            <w:pPr>
              <w:pStyle w:val="TableText"/>
              <w:cnfStyle w:val="000000000000" w:firstRow="0" w:lastRow="0" w:firstColumn="0" w:lastColumn="0" w:oddVBand="0" w:evenVBand="0" w:oddHBand="0" w:evenHBand="0" w:firstRowFirstColumn="0" w:firstRowLastColumn="0" w:lastRowFirstColumn="0" w:lastRowLastColumn="0"/>
            </w:pPr>
            <w:r w:rsidRPr="00670462">
              <w:t>Merrimu PSP is being prepared and will guide future development. No information on the timeline for the Merrimu PSP has been released publicly. However, there is potential that there will be a temporal relationship with the Western Renewables Link Project.</w:t>
            </w:r>
          </w:p>
        </w:tc>
        <w:tc>
          <w:tcPr>
            <w:tcW w:w="711" w:type="pct"/>
          </w:tcPr>
          <w:p w14:paraId="5FF16D64" w14:textId="7A14E02D" w:rsidR="00137B7B" w:rsidRPr="00962015" w:rsidRDefault="00137B7B" w:rsidP="00137B7B">
            <w:pPr>
              <w:pStyle w:val="TableText"/>
              <w:cnfStyle w:val="000000000000" w:firstRow="0" w:lastRow="0" w:firstColumn="0" w:lastColumn="0" w:oddVBand="0" w:evenVBand="0" w:oddHBand="0" w:evenHBand="0" w:firstRowFirstColumn="0" w:firstRowLastColumn="0" w:lastRowFirstColumn="0" w:lastRowLastColumn="0"/>
            </w:pPr>
            <w:r w:rsidRPr="00670462">
              <w:t>Sufficient information is publicly available and supporting background studies were developed by the Victorian Planning Authority.</w:t>
            </w:r>
          </w:p>
        </w:tc>
        <w:tc>
          <w:tcPr>
            <w:tcW w:w="640" w:type="pct"/>
          </w:tcPr>
          <w:p w14:paraId="2EBACB77" w14:textId="77777777" w:rsidR="00137B7B" w:rsidRDefault="00137B7B" w:rsidP="00137B7B">
            <w:pPr>
              <w:pStyle w:val="TableBullet"/>
              <w:cnfStyle w:val="000000000000" w:firstRow="0" w:lastRow="0" w:firstColumn="0" w:lastColumn="0" w:oddVBand="0" w:evenVBand="0" w:oddHBand="0" w:evenHBand="0" w:firstRowFirstColumn="0" w:firstRowLastColumn="0" w:lastRowFirstColumn="0" w:lastRowLastColumn="0"/>
            </w:pPr>
            <w:r>
              <w:t>Bushfire</w:t>
            </w:r>
          </w:p>
          <w:p w14:paraId="4F1C5F15" w14:textId="77777777" w:rsidR="00137B7B" w:rsidRDefault="00137B7B" w:rsidP="00137B7B">
            <w:pPr>
              <w:pStyle w:val="TableBullet"/>
              <w:cnfStyle w:val="000000000000" w:firstRow="0" w:lastRow="0" w:firstColumn="0" w:lastColumn="0" w:oddVBand="0" w:evenVBand="0" w:oddHBand="0" w:evenHBand="0" w:firstRowFirstColumn="0" w:firstRowLastColumn="0" w:lastRowFirstColumn="0" w:lastRowLastColumn="0"/>
            </w:pPr>
            <w:r>
              <w:t>Geology and soils</w:t>
            </w:r>
          </w:p>
          <w:p w14:paraId="0E789414" w14:textId="77777777" w:rsidR="00137B7B" w:rsidRDefault="00137B7B" w:rsidP="00137B7B">
            <w:pPr>
              <w:pStyle w:val="TableBullet"/>
              <w:cnfStyle w:val="000000000000" w:firstRow="0" w:lastRow="0" w:firstColumn="0" w:lastColumn="0" w:oddVBand="0" w:evenVBand="0" w:oddHBand="0" w:evenHBand="0" w:firstRowFirstColumn="0" w:firstRowLastColumn="0" w:lastRowFirstColumn="0" w:lastRowLastColumn="0"/>
            </w:pPr>
            <w:r>
              <w:t>Landscape and visual amenity</w:t>
            </w:r>
          </w:p>
          <w:p w14:paraId="4BFE820C" w14:textId="42D588E0" w:rsidR="00137B7B" w:rsidRDefault="00137B7B" w:rsidP="00137B7B">
            <w:pPr>
              <w:pStyle w:val="TableBullet"/>
              <w:cnfStyle w:val="000000000000" w:firstRow="0" w:lastRow="0" w:firstColumn="0" w:lastColumn="0" w:oddVBand="0" w:evenVBand="0" w:oddHBand="0" w:evenHBand="0" w:firstRowFirstColumn="0" w:firstRowLastColumn="0" w:lastRowFirstColumn="0" w:lastRowLastColumn="0"/>
            </w:pPr>
            <w:r>
              <w:t>Transport.</w:t>
            </w:r>
          </w:p>
        </w:tc>
      </w:tr>
      <w:tr w:rsidR="00137B7B" w14:paraId="2787E9E1" w14:textId="77777777" w:rsidTr="392788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5" w:type="pct"/>
          </w:tcPr>
          <w:p w14:paraId="635EA86B" w14:textId="4BC64178" w:rsidR="00137B7B" w:rsidRPr="00137B7B" w:rsidRDefault="00137B7B" w:rsidP="00137B7B">
            <w:pPr>
              <w:pStyle w:val="TableNumbers"/>
            </w:pPr>
            <w:r w:rsidRPr="00137B7B">
              <w:t>Navarre Green Power Hub</w:t>
            </w:r>
          </w:p>
        </w:tc>
        <w:tc>
          <w:tcPr>
            <w:tcW w:w="1011" w:type="pct"/>
          </w:tcPr>
          <w:p w14:paraId="416FF99F" w14:textId="6E3FF8E5" w:rsidR="00137B7B" w:rsidRPr="00962015" w:rsidRDefault="00137B7B" w:rsidP="00137B7B">
            <w:pPr>
              <w:pStyle w:val="TableText"/>
              <w:cnfStyle w:val="000000010000" w:firstRow="0" w:lastRow="0" w:firstColumn="0" w:lastColumn="0" w:oddVBand="0" w:evenVBand="0" w:oddHBand="0" w:evenHBand="1" w:firstRowFirstColumn="0" w:firstRowLastColumn="0" w:lastRowFirstColumn="0" w:lastRowLastColumn="0"/>
            </w:pPr>
            <w:r w:rsidRPr="00D62242">
              <w:t>A wind farm and battery project with a proposed capacity of approximately 600MW. The wind farm is proposed to be located within the Barkly and Kanya Ranges to the north of Navarre, with tower heights of 200-250m.</w:t>
            </w:r>
          </w:p>
        </w:tc>
        <w:tc>
          <w:tcPr>
            <w:tcW w:w="870" w:type="pct"/>
          </w:tcPr>
          <w:p w14:paraId="7FC8200D" w14:textId="273C61FA" w:rsidR="00137B7B" w:rsidRPr="00962015" w:rsidRDefault="00137B7B" w:rsidP="00137B7B">
            <w:pPr>
              <w:pStyle w:val="TableText"/>
              <w:cnfStyle w:val="000000010000" w:firstRow="0" w:lastRow="0" w:firstColumn="0" w:lastColumn="0" w:oddVBand="0" w:evenVBand="0" w:oddHBand="0" w:evenHBand="1" w:firstRowFirstColumn="0" w:firstRowLastColumn="0" w:lastRowFirstColumn="0" w:lastRowLastColumn="0"/>
            </w:pPr>
            <w:r w:rsidRPr="00D62242">
              <w:t>This project is located to the north of Navarre, approximately 15 km north of Project Land. As such, potential impacts are expected to have a spatial relationship with the Western Renewables Link Project.</w:t>
            </w:r>
          </w:p>
        </w:tc>
        <w:tc>
          <w:tcPr>
            <w:tcW w:w="1083" w:type="pct"/>
          </w:tcPr>
          <w:p w14:paraId="3B828404" w14:textId="52616FB1" w:rsidR="00137B7B" w:rsidRPr="00962015" w:rsidRDefault="00137B7B" w:rsidP="00137B7B">
            <w:pPr>
              <w:pStyle w:val="TableText"/>
              <w:cnfStyle w:val="000000010000" w:firstRow="0" w:lastRow="0" w:firstColumn="0" w:lastColumn="0" w:oddVBand="0" w:evenVBand="0" w:oddHBand="0" w:evenHBand="1" w:firstRowFirstColumn="0" w:firstRowLastColumn="0" w:lastRowFirstColumn="0" w:lastRowLastColumn="0"/>
            </w:pPr>
            <w:r>
              <w:t>This project has been referred under the Environment Effects Act and expects to begin construction in 2025. As such, potential impacts are expected to have a temporal relationship with the Western Renewables Link Project</w:t>
            </w:r>
            <w:r w:rsidR="6C38FEEB">
              <w:t>.</w:t>
            </w:r>
            <w:r>
              <w:t xml:space="preserve"> </w:t>
            </w:r>
          </w:p>
        </w:tc>
        <w:tc>
          <w:tcPr>
            <w:tcW w:w="711" w:type="pct"/>
          </w:tcPr>
          <w:p w14:paraId="190F5982" w14:textId="3432EB00" w:rsidR="00137B7B" w:rsidRPr="00962015" w:rsidRDefault="00137B7B" w:rsidP="00137B7B">
            <w:pPr>
              <w:pStyle w:val="TableText"/>
              <w:cnfStyle w:val="000000010000" w:firstRow="0" w:lastRow="0" w:firstColumn="0" w:lastColumn="0" w:oddVBand="0" w:evenVBand="0" w:oddHBand="0" w:evenHBand="1" w:firstRowFirstColumn="0" w:firstRowLastColumn="0" w:lastRowFirstColumn="0" w:lastRowLastColumn="0"/>
            </w:pPr>
            <w:r w:rsidRPr="00D62242">
              <w:t>Sufficient information is publicly available and environmental impact assessments were undertaken by the project proponent as part of the EES and EPBC referrals.</w:t>
            </w:r>
          </w:p>
        </w:tc>
        <w:tc>
          <w:tcPr>
            <w:tcW w:w="640" w:type="pct"/>
          </w:tcPr>
          <w:p w14:paraId="0D3DDE72" w14:textId="77777777" w:rsidR="00137B7B" w:rsidRDefault="00137B7B" w:rsidP="00137B7B">
            <w:pPr>
              <w:pStyle w:val="TableBullet"/>
              <w:cnfStyle w:val="000000010000" w:firstRow="0" w:lastRow="0" w:firstColumn="0" w:lastColumn="0" w:oddVBand="0" w:evenVBand="0" w:oddHBand="0" w:evenHBand="1" w:firstRowFirstColumn="0" w:firstRowLastColumn="0" w:lastRowFirstColumn="0" w:lastRowLastColumn="0"/>
            </w:pPr>
            <w:r>
              <w:t>Agriculture and forestry</w:t>
            </w:r>
          </w:p>
          <w:p w14:paraId="198B6933" w14:textId="77777777" w:rsidR="00137B7B" w:rsidRDefault="00137B7B" w:rsidP="00137B7B">
            <w:pPr>
              <w:pStyle w:val="TableBullet"/>
              <w:cnfStyle w:val="000000010000" w:firstRow="0" w:lastRow="0" w:firstColumn="0" w:lastColumn="0" w:oddVBand="0" w:evenVBand="0" w:oddHBand="0" w:evenHBand="1" w:firstRowFirstColumn="0" w:firstRowLastColumn="0" w:lastRowFirstColumn="0" w:lastRowLastColumn="0"/>
            </w:pPr>
            <w:r>
              <w:t>Landscape and visual amenity</w:t>
            </w:r>
          </w:p>
          <w:p w14:paraId="7CE991B6" w14:textId="1CCE59F0" w:rsidR="00137B7B" w:rsidRDefault="00137B7B" w:rsidP="00137B7B">
            <w:pPr>
              <w:pStyle w:val="TableBullet"/>
              <w:cnfStyle w:val="000000010000" w:firstRow="0" w:lastRow="0" w:firstColumn="0" w:lastColumn="0" w:oddVBand="0" w:evenVBand="0" w:oddHBand="0" w:evenHBand="1" w:firstRowFirstColumn="0" w:firstRowLastColumn="0" w:lastRowFirstColumn="0" w:lastRowLastColumn="0"/>
            </w:pPr>
            <w:r>
              <w:t>Transport</w:t>
            </w:r>
            <w:r w:rsidR="002A1474">
              <w:t>.</w:t>
            </w:r>
          </w:p>
        </w:tc>
      </w:tr>
      <w:tr w:rsidR="00137B7B" w14:paraId="07405E79" w14:textId="77777777" w:rsidTr="392788E3">
        <w:tc>
          <w:tcPr>
            <w:cnfStyle w:val="001000000000" w:firstRow="0" w:lastRow="0" w:firstColumn="1" w:lastColumn="0" w:oddVBand="0" w:evenVBand="0" w:oddHBand="0" w:evenHBand="0" w:firstRowFirstColumn="0" w:firstRowLastColumn="0" w:lastRowFirstColumn="0" w:lastRowLastColumn="0"/>
            <w:tcW w:w="685" w:type="pct"/>
          </w:tcPr>
          <w:p w14:paraId="03193642" w14:textId="6FD8A99B" w:rsidR="00137B7B" w:rsidRPr="00137B7B" w:rsidRDefault="00137B7B" w:rsidP="00137B7B">
            <w:pPr>
              <w:pStyle w:val="TableNumbers"/>
            </w:pPr>
            <w:r w:rsidRPr="00137B7B">
              <w:lastRenderedPageBreak/>
              <w:t>Nyaninyuk Wind Farm</w:t>
            </w:r>
          </w:p>
        </w:tc>
        <w:tc>
          <w:tcPr>
            <w:tcW w:w="1011" w:type="pct"/>
          </w:tcPr>
          <w:p w14:paraId="79432D95" w14:textId="4AB735B8" w:rsidR="00137B7B" w:rsidRPr="00962015" w:rsidRDefault="00137B7B" w:rsidP="00DC42C3">
            <w:pPr>
              <w:pStyle w:val="TableText"/>
              <w:keepNext/>
              <w:keepLines/>
              <w:cnfStyle w:val="000000000000" w:firstRow="0" w:lastRow="0" w:firstColumn="0" w:lastColumn="0" w:oddVBand="0" w:evenVBand="0" w:oddHBand="0" w:evenHBand="0" w:firstRowFirstColumn="0" w:firstRowLastColumn="0" w:lastRowFirstColumn="0" w:lastRowLastColumn="0"/>
            </w:pPr>
            <w:r w:rsidRPr="00F12556">
              <w:t>58 wind turbine generators between Evansford, Clunes, and Waubra with a total combined capacity of up to 330MW.</w:t>
            </w:r>
          </w:p>
        </w:tc>
        <w:tc>
          <w:tcPr>
            <w:tcW w:w="870" w:type="pct"/>
          </w:tcPr>
          <w:p w14:paraId="2138A265" w14:textId="7194A2E4" w:rsidR="00137B7B" w:rsidRPr="00962015" w:rsidRDefault="00137B7B" w:rsidP="00DC42C3">
            <w:pPr>
              <w:pStyle w:val="TableText"/>
              <w:keepNext/>
              <w:keepLines/>
              <w:cnfStyle w:val="000000000000" w:firstRow="0" w:lastRow="0" w:firstColumn="0" w:lastColumn="0" w:oddVBand="0" w:evenVBand="0" w:oddHBand="0" w:evenHBand="0" w:firstRowFirstColumn="0" w:firstRowLastColumn="0" w:lastRowFirstColumn="0" w:lastRowLastColumn="0"/>
            </w:pPr>
            <w:r w:rsidRPr="00F12556">
              <w:t xml:space="preserve">This project has a spatial relationship with the Western Renewables Link Project as it is located between Evansford, Clunes and Waubra and intersects with the Western Renewables Link Project. </w:t>
            </w:r>
          </w:p>
        </w:tc>
        <w:tc>
          <w:tcPr>
            <w:tcW w:w="1083" w:type="pct"/>
          </w:tcPr>
          <w:p w14:paraId="14BAD170" w14:textId="6E39F6DE" w:rsidR="00137B7B" w:rsidRPr="00962015" w:rsidRDefault="00137B7B" w:rsidP="00DC42C3">
            <w:pPr>
              <w:pStyle w:val="TableText"/>
              <w:keepNext/>
              <w:keepLines/>
              <w:cnfStyle w:val="000000000000" w:firstRow="0" w:lastRow="0" w:firstColumn="0" w:lastColumn="0" w:oddVBand="0" w:evenVBand="0" w:oddHBand="0" w:evenHBand="0" w:firstRowFirstColumn="0" w:firstRowLastColumn="0" w:lastRowFirstColumn="0" w:lastRowLastColumn="0"/>
            </w:pPr>
            <w:r w:rsidRPr="00F12556">
              <w:t xml:space="preserve">This project is currently in the feasibility stage; however, have a temporal relationship with the Western Renewables Link Project as construction is anticipated to commence in late 2026. </w:t>
            </w:r>
          </w:p>
        </w:tc>
        <w:tc>
          <w:tcPr>
            <w:tcW w:w="711" w:type="pct"/>
          </w:tcPr>
          <w:p w14:paraId="5E0179DF" w14:textId="40C08E2C" w:rsidR="00137B7B" w:rsidRPr="00962015" w:rsidRDefault="00137B7B" w:rsidP="00DC42C3">
            <w:pPr>
              <w:pStyle w:val="TableText"/>
              <w:keepNext/>
              <w:keepLines/>
              <w:cnfStyle w:val="000000000000" w:firstRow="0" w:lastRow="0" w:firstColumn="0" w:lastColumn="0" w:oddVBand="0" w:evenVBand="0" w:oddHBand="0" w:evenHBand="0" w:firstRowFirstColumn="0" w:firstRowLastColumn="0" w:lastRowFirstColumn="0" w:lastRowLastColumn="0"/>
            </w:pPr>
            <w:r w:rsidRPr="00F12556">
              <w:t>Sufficient information is available on the Nyaninyuk Community Hub Website.</w:t>
            </w:r>
          </w:p>
        </w:tc>
        <w:tc>
          <w:tcPr>
            <w:tcW w:w="640" w:type="pct"/>
          </w:tcPr>
          <w:p w14:paraId="6F6472CC" w14:textId="77777777" w:rsidR="00137B7B" w:rsidRDefault="00137B7B" w:rsidP="00DC42C3">
            <w:pPr>
              <w:pStyle w:val="TableBullet"/>
              <w:keepNext/>
              <w:keepLines/>
              <w:cnfStyle w:val="000000000000" w:firstRow="0" w:lastRow="0" w:firstColumn="0" w:lastColumn="0" w:oddVBand="0" w:evenVBand="0" w:oddHBand="0" w:evenHBand="0" w:firstRowFirstColumn="0" w:firstRowLastColumn="0" w:lastRowFirstColumn="0" w:lastRowLastColumn="0"/>
            </w:pPr>
            <w:r>
              <w:t xml:space="preserve">Aboriginal cultural heritage </w:t>
            </w:r>
          </w:p>
          <w:p w14:paraId="7B94EDFF" w14:textId="77777777" w:rsidR="00137B7B" w:rsidRDefault="00137B7B" w:rsidP="00DC42C3">
            <w:pPr>
              <w:pStyle w:val="TableBullet"/>
              <w:keepNext/>
              <w:keepLines/>
              <w:cnfStyle w:val="000000000000" w:firstRow="0" w:lastRow="0" w:firstColumn="0" w:lastColumn="0" w:oddVBand="0" w:evenVBand="0" w:oddHBand="0" w:evenHBand="0" w:firstRowFirstColumn="0" w:firstRowLastColumn="0" w:lastRowFirstColumn="0" w:lastRowLastColumn="0"/>
            </w:pPr>
            <w:r>
              <w:t>Agriculture and forestry</w:t>
            </w:r>
          </w:p>
          <w:p w14:paraId="1B7B5370" w14:textId="77777777" w:rsidR="00137B7B" w:rsidRDefault="00137B7B" w:rsidP="00DC42C3">
            <w:pPr>
              <w:pStyle w:val="TableBullet"/>
              <w:keepNext/>
              <w:keepLines/>
              <w:cnfStyle w:val="000000000000" w:firstRow="0" w:lastRow="0" w:firstColumn="0" w:lastColumn="0" w:oddVBand="0" w:evenVBand="0" w:oddHBand="0" w:evenHBand="0" w:firstRowFirstColumn="0" w:firstRowLastColumn="0" w:lastRowFirstColumn="0" w:lastRowLastColumn="0"/>
            </w:pPr>
            <w:r>
              <w:t>Bushfire</w:t>
            </w:r>
          </w:p>
          <w:p w14:paraId="653CB6A5" w14:textId="77777777" w:rsidR="00137B7B" w:rsidRDefault="00137B7B" w:rsidP="00DC42C3">
            <w:pPr>
              <w:pStyle w:val="TableBullet"/>
              <w:keepNext/>
              <w:keepLines/>
              <w:cnfStyle w:val="000000000000" w:firstRow="0" w:lastRow="0" w:firstColumn="0" w:lastColumn="0" w:oddVBand="0" w:evenVBand="0" w:oddHBand="0" w:evenHBand="0" w:firstRowFirstColumn="0" w:firstRowLastColumn="0" w:lastRowFirstColumn="0" w:lastRowLastColumn="0"/>
            </w:pPr>
            <w:r>
              <w:t>Contaminated land</w:t>
            </w:r>
          </w:p>
          <w:p w14:paraId="6537B24E" w14:textId="77777777" w:rsidR="00137B7B" w:rsidRDefault="00137B7B" w:rsidP="00DC42C3">
            <w:pPr>
              <w:pStyle w:val="TableBullet"/>
              <w:keepNext/>
              <w:keepLines/>
              <w:cnfStyle w:val="000000000000" w:firstRow="0" w:lastRow="0" w:firstColumn="0" w:lastColumn="0" w:oddVBand="0" w:evenVBand="0" w:oddHBand="0" w:evenHBand="0" w:firstRowFirstColumn="0" w:firstRowLastColumn="0" w:lastRowFirstColumn="0" w:lastRowLastColumn="0"/>
            </w:pPr>
            <w:r>
              <w:t>Geology and soils.</w:t>
            </w:r>
          </w:p>
          <w:p w14:paraId="24C0366D" w14:textId="77777777" w:rsidR="00137B7B" w:rsidRDefault="00137B7B" w:rsidP="00DC42C3">
            <w:pPr>
              <w:pStyle w:val="TableBullet"/>
              <w:keepNext/>
              <w:keepLines/>
              <w:cnfStyle w:val="000000000000" w:firstRow="0" w:lastRow="0" w:firstColumn="0" w:lastColumn="0" w:oddVBand="0" w:evenVBand="0" w:oddHBand="0" w:evenHBand="0" w:firstRowFirstColumn="0" w:firstRowLastColumn="0" w:lastRowFirstColumn="0" w:lastRowLastColumn="0"/>
            </w:pPr>
            <w:r>
              <w:t>Groundwater</w:t>
            </w:r>
          </w:p>
          <w:p w14:paraId="7CF4B023" w14:textId="77777777" w:rsidR="00137B7B" w:rsidRDefault="00137B7B" w:rsidP="00DC42C3">
            <w:pPr>
              <w:pStyle w:val="TableBullet"/>
              <w:keepNext/>
              <w:keepLines/>
              <w:cnfStyle w:val="000000000000" w:firstRow="0" w:lastRow="0" w:firstColumn="0" w:lastColumn="0" w:oddVBand="0" w:evenVBand="0" w:oddHBand="0" w:evenHBand="0" w:firstRowFirstColumn="0" w:firstRowLastColumn="0" w:lastRowFirstColumn="0" w:lastRowLastColumn="0"/>
            </w:pPr>
            <w:r>
              <w:t>Landscape and visual amenity</w:t>
            </w:r>
          </w:p>
          <w:p w14:paraId="521625ED" w14:textId="77777777" w:rsidR="00137B7B" w:rsidRDefault="00137B7B" w:rsidP="00DC42C3">
            <w:pPr>
              <w:pStyle w:val="TableBullet"/>
              <w:keepNext/>
              <w:keepLines/>
              <w:cnfStyle w:val="000000000000" w:firstRow="0" w:lastRow="0" w:firstColumn="0" w:lastColumn="0" w:oddVBand="0" w:evenVBand="0" w:oddHBand="0" w:evenHBand="0" w:firstRowFirstColumn="0" w:firstRowLastColumn="0" w:lastRowFirstColumn="0" w:lastRowLastColumn="0"/>
            </w:pPr>
            <w:r>
              <w:t>Noise and vibration</w:t>
            </w:r>
          </w:p>
          <w:p w14:paraId="36B9CEA3" w14:textId="77777777" w:rsidR="00137B7B" w:rsidRDefault="00137B7B" w:rsidP="00DC42C3">
            <w:pPr>
              <w:pStyle w:val="TableBullet"/>
              <w:keepNext/>
              <w:keepLines/>
              <w:cnfStyle w:val="000000000000" w:firstRow="0" w:lastRow="0" w:firstColumn="0" w:lastColumn="0" w:oddVBand="0" w:evenVBand="0" w:oddHBand="0" w:evenHBand="0" w:firstRowFirstColumn="0" w:firstRowLastColumn="0" w:lastRowFirstColumn="0" w:lastRowLastColumn="0"/>
            </w:pPr>
            <w:r>
              <w:t>Surface water</w:t>
            </w:r>
          </w:p>
          <w:p w14:paraId="79AD4516" w14:textId="7DFB533F" w:rsidR="00137B7B" w:rsidRDefault="00137B7B" w:rsidP="00DC42C3">
            <w:pPr>
              <w:pStyle w:val="TableBullet"/>
              <w:keepNext/>
              <w:keepLines/>
              <w:cnfStyle w:val="000000000000" w:firstRow="0" w:lastRow="0" w:firstColumn="0" w:lastColumn="0" w:oddVBand="0" w:evenVBand="0" w:oddHBand="0" w:evenHBand="0" w:firstRowFirstColumn="0" w:firstRowLastColumn="0" w:lastRowFirstColumn="0" w:lastRowLastColumn="0"/>
            </w:pPr>
            <w:r>
              <w:t>Transport.</w:t>
            </w:r>
          </w:p>
        </w:tc>
      </w:tr>
      <w:tr w:rsidR="00137B7B" w14:paraId="5783F7B8" w14:textId="77777777" w:rsidTr="392788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5" w:type="pct"/>
          </w:tcPr>
          <w:p w14:paraId="49633E6F" w14:textId="2100AC0E" w:rsidR="00137B7B" w:rsidRPr="00137B7B" w:rsidRDefault="00137B7B" w:rsidP="00137B7B">
            <w:pPr>
              <w:pStyle w:val="TableNumbers"/>
              <w:numPr>
                <w:ilvl w:val="0"/>
                <w:numId w:val="0"/>
              </w:numPr>
              <w:ind w:left="284" w:hanging="284"/>
            </w:pPr>
            <w:r w:rsidRPr="00137B7B">
              <w:t>14.</w:t>
            </w:r>
            <w:r w:rsidRPr="00137B7B">
              <w:tab/>
              <w:t>Outer Metropolitan Ring Road/E6</w:t>
            </w:r>
          </w:p>
        </w:tc>
        <w:tc>
          <w:tcPr>
            <w:tcW w:w="1011" w:type="pct"/>
          </w:tcPr>
          <w:p w14:paraId="7F5F03CF" w14:textId="75E41829" w:rsidR="00137B7B" w:rsidRPr="00962015" w:rsidRDefault="00137B7B" w:rsidP="00137B7B">
            <w:pPr>
              <w:pStyle w:val="TableText"/>
              <w:cnfStyle w:val="000000010000" w:firstRow="0" w:lastRow="0" w:firstColumn="0" w:lastColumn="0" w:oddVBand="0" w:evenVBand="0" w:oddHBand="0" w:evenHBand="1" w:firstRowFirstColumn="0" w:firstRowLastColumn="0" w:lastRowFirstColumn="0" w:lastRowLastColumn="0"/>
            </w:pPr>
            <w:r w:rsidRPr="000E5674">
              <w:t>A new four-lane (bi-directional) freeway, linking Werribee with Thomastown, via Melton, Tullamarine, Craigieburn, and Epping. The proposal includes a freight and high-speed passenger rail line in the median strip.</w:t>
            </w:r>
          </w:p>
        </w:tc>
        <w:tc>
          <w:tcPr>
            <w:tcW w:w="870" w:type="pct"/>
          </w:tcPr>
          <w:p w14:paraId="7B221415" w14:textId="4A7FD0BC" w:rsidR="00137B7B" w:rsidRPr="00962015" w:rsidRDefault="00137B7B" w:rsidP="00137B7B">
            <w:pPr>
              <w:pStyle w:val="TableText"/>
              <w:cnfStyle w:val="000000010000" w:firstRow="0" w:lastRow="0" w:firstColumn="0" w:lastColumn="0" w:oddVBand="0" w:evenVBand="0" w:oddHBand="0" w:evenHBand="1" w:firstRowFirstColumn="0" w:firstRowLastColumn="0" w:lastRowFirstColumn="0" w:lastRowLastColumn="0"/>
            </w:pPr>
            <w:r w:rsidRPr="000E5674">
              <w:t>This project is located within the eastern end of Project Land. As such, it has a spatial relationship with the Western Renewables Link Project.</w:t>
            </w:r>
          </w:p>
        </w:tc>
        <w:tc>
          <w:tcPr>
            <w:tcW w:w="1083" w:type="pct"/>
          </w:tcPr>
          <w:p w14:paraId="65695B71" w14:textId="24778F3F" w:rsidR="00137B7B" w:rsidRPr="00962015" w:rsidRDefault="00137B7B" w:rsidP="00137B7B">
            <w:pPr>
              <w:pStyle w:val="TableText"/>
              <w:cnfStyle w:val="000000010000" w:firstRow="0" w:lastRow="0" w:firstColumn="0" w:lastColumn="0" w:oddVBand="0" w:evenVBand="0" w:oddHBand="0" w:evenHBand="1" w:firstRowFirstColumn="0" w:firstRowLastColumn="0" w:lastRowFirstColumn="0" w:lastRowLastColumn="0"/>
            </w:pPr>
            <w:r w:rsidRPr="000E5674">
              <w:t>Construction of the road and railway is unlikely to start before 2030. However, due to the project’s direct interface with the Western Renewables Link Project and potential design constraints, it is considered the project has a temporal relationship with the Western Renewables Link Project.</w:t>
            </w:r>
          </w:p>
        </w:tc>
        <w:tc>
          <w:tcPr>
            <w:tcW w:w="711" w:type="pct"/>
          </w:tcPr>
          <w:p w14:paraId="15E5FAF6" w14:textId="19BF1A4A" w:rsidR="00137B7B" w:rsidRPr="00962015" w:rsidRDefault="00137B7B" w:rsidP="00137B7B">
            <w:pPr>
              <w:pStyle w:val="TableText"/>
              <w:cnfStyle w:val="000000010000" w:firstRow="0" w:lastRow="0" w:firstColumn="0" w:lastColumn="0" w:oddVBand="0" w:evenVBand="0" w:oddHBand="0" w:evenHBand="1" w:firstRowFirstColumn="0" w:firstRowLastColumn="0" w:lastRowFirstColumn="0" w:lastRowLastColumn="0"/>
            </w:pPr>
            <w:r w:rsidRPr="000E5674">
              <w:t>Sufficient information is publicly available as environmental impact assessments were undertaken by the project proponent as part of the Planning Assessment Report.</w:t>
            </w:r>
          </w:p>
        </w:tc>
        <w:tc>
          <w:tcPr>
            <w:tcW w:w="640" w:type="pct"/>
          </w:tcPr>
          <w:p w14:paraId="637E23EE" w14:textId="77777777" w:rsidR="00137B7B" w:rsidRDefault="00137B7B" w:rsidP="00137B7B">
            <w:pPr>
              <w:pStyle w:val="TableBullet"/>
              <w:cnfStyle w:val="000000010000" w:firstRow="0" w:lastRow="0" w:firstColumn="0" w:lastColumn="0" w:oddVBand="0" w:evenVBand="0" w:oddHBand="0" w:evenHBand="1" w:firstRowFirstColumn="0" w:firstRowLastColumn="0" w:lastRowFirstColumn="0" w:lastRowLastColumn="0"/>
            </w:pPr>
            <w:r>
              <w:t>Agriculture and forestry</w:t>
            </w:r>
          </w:p>
          <w:p w14:paraId="79355C1E" w14:textId="77777777" w:rsidR="00137B7B" w:rsidRDefault="00137B7B" w:rsidP="00137B7B">
            <w:pPr>
              <w:pStyle w:val="TableBullet"/>
              <w:cnfStyle w:val="000000010000" w:firstRow="0" w:lastRow="0" w:firstColumn="0" w:lastColumn="0" w:oddVBand="0" w:evenVBand="0" w:oddHBand="0" w:evenHBand="1" w:firstRowFirstColumn="0" w:firstRowLastColumn="0" w:lastRowFirstColumn="0" w:lastRowLastColumn="0"/>
            </w:pPr>
            <w:r>
              <w:t>Geology and soils</w:t>
            </w:r>
          </w:p>
          <w:p w14:paraId="0F1BD201" w14:textId="77777777" w:rsidR="00137B7B" w:rsidRDefault="00137B7B" w:rsidP="00137B7B">
            <w:pPr>
              <w:pStyle w:val="TableBullet"/>
              <w:cnfStyle w:val="000000010000" w:firstRow="0" w:lastRow="0" w:firstColumn="0" w:lastColumn="0" w:oddVBand="0" w:evenVBand="0" w:oddHBand="0" w:evenHBand="1" w:firstRowFirstColumn="0" w:firstRowLastColumn="0" w:lastRowFirstColumn="0" w:lastRowLastColumn="0"/>
            </w:pPr>
            <w:r>
              <w:t>Noise and vibration</w:t>
            </w:r>
          </w:p>
          <w:p w14:paraId="39542171" w14:textId="77777777" w:rsidR="00137B7B" w:rsidRDefault="00137B7B" w:rsidP="00137B7B">
            <w:pPr>
              <w:pStyle w:val="TableBullet"/>
              <w:cnfStyle w:val="000000010000" w:firstRow="0" w:lastRow="0" w:firstColumn="0" w:lastColumn="0" w:oddVBand="0" w:evenVBand="0" w:oddHBand="0" w:evenHBand="1" w:firstRowFirstColumn="0" w:firstRowLastColumn="0" w:lastRowFirstColumn="0" w:lastRowLastColumn="0"/>
            </w:pPr>
            <w:r>
              <w:t>Surface water</w:t>
            </w:r>
          </w:p>
          <w:p w14:paraId="32D95AFA" w14:textId="6B93C4EA" w:rsidR="00137B7B" w:rsidRDefault="00137B7B" w:rsidP="00137B7B">
            <w:pPr>
              <w:pStyle w:val="TableBullet"/>
              <w:cnfStyle w:val="000000010000" w:firstRow="0" w:lastRow="0" w:firstColumn="0" w:lastColumn="0" w:oddVBand="0" w:evenVBand="0" w:oddHBand="0" w:evenHBand="1" w:firstRowFirstColumn="0" w:firstRowLastColumn="0" w:lastRowFirstColumn="0" w:lastRowLastColumn="0"/>
            </w:pPr>
            <w:r>
              <w:t>Transport.</w:t>
            </w:r>
          </w:p>
        </w:tc>
      </w:tr>
      <w:tr w:rsidR="00137B7B" w14:paraId="3C707C5D" w14:textId="77777777" w:rsidTr="392788E3">
        <w:tc>
          <w:tcPr>
            <w:cnfStyle w:val="001000000000" w:firstRow="0" w:lastRow="0" w:firstColumn="1" w:lastColumn="0" w:oddVBand="0" w:evenVBand="0" w:oddHBand="0" w:evenHBand="0" w:firstRowFirstColumn="0" w:firstRowLastColumn="0" w:lastRowFirstColumn="0" w:lastRowLastColumn="0"/>
            <w:tcW w:w="685" w:type="pct"/>
          </w:tcPr>
          <w:p w14:paraId="4B68046E" w14:textId="4EF22EB3" w:rsidR="00137B7B" w:rsidRPr="00137B7B" w:rsidRDefault="00137B7B" w:rsidP="00137B7B">
            <w:pPr>
              <w:pStyle w:val="TableNumbers"/>
              <w:numPr>
                <w:ilvl w:val="0"/>
                <w:numId w:val="0"/>
              </w:numPr>
              <w:ind w:left="284" w:hanging="284"/>
            </w:pPr>
            <w:r w:rsidRPr="00137B7B">
              <w:t>15.</w:t>
            </w:r>
            <w:r w:rsidRPr="00137B7B">
              <w:tab/>
              <w:t>Powercor Mt Cottrell Zone Substation</w:t>
            </w:r>
          </w:p>
        </w:tc>
        <w:tc>
          <w:tcPr>
            <w:tcW w:w="1011" w:type="pct"/>
          </w:tcPr>
          <w:p w14:paraId="707ECE25" w14:textId="3C2457E8" w:rsidR="00137B7B" w:rsidRPr="00962015" w:rsidRDefault="00137B7B" w:rsidP="00137B7B">
            <w:pPr>
              <w:pStyle w:val="TableText"/>
              <w:cnfStyle w:val="000000000000" w:firstRow="0" w:lastRow="0" w:firstColumn="0" w:lastColumn="0" w:oddVBand="0" w:evenVBand="0" w:oddHBand="0" w:evenHBand="0" w:firstRowFirstColumn="0" w:firstRowLastColumn="0" w:lastRowFirstColumn="0" w:lastRowLastColumn="0"/>
            </w:pPr>
            <w:r w:rsidRPr="007D2A65">
              <w:t xml:space="preserve">Substation in Truganina to support future development and industry. </w:t>
            </w:r>
          </w:p>
        </w:tc>
        <w:tc>
          <w:tcPr>
            <w:tcW w:w="870" w:type="pct"/>
          </w:tcPr>
          <w:p w14:paraId="4BB747A5" w14:textId="594D2869" w:rsidR="00137B7B" w:rsidRPr="00962015" w:rsidRDefault="00137B7B" w:rsidP="00137B7B">
            <w:pPr>
              <w:pStyle w:val="TableText"/>
              <w:cnfStyle w:val="000000000000" w:firstRow="0" w:lastRow="0" w:firstColumn="0" w:lastColumn="0" w:oddVBand="0" w:evenVBand="0" w:oddHBand="0" w:evenHBand="0" w:firstRowFirstColumn="0" w:firstRowLastColumn="0" w:lastRowFirstColumn="0" w:lastRowLastColumn="0"/>
            </w:pPr>
            <w:r w:rsidRPr="007D2A65">
              <w:t>This project is located at 535-601 Troups Road, Truganina, approximately 10km south of the Project Land. As such, potential impacts are expected to have a spatial relationship with the Western Renewables Link Project.</w:t>
            </w:r>
          </w:p>
        </w:tc>
        <w:tc>
          <w:tcPr>
            <w:tcW w:w="1083" w:type="pct"/>
          </w:tcPr>
          <w:p w14:paraId="5144557D" w14:textId="001428C7" w:rsidR="00137B7B" w:rsidRPr="00962015" w:rsidRDefault="00137B7B" w:rsidP="00137B7B">
            <w:pPr>
              <w:pStyle w:val="TableText"/>
              <w:cnfStyle w:val="000000000000" w:firstRow="0" w:lastRow="0" w:firstColumn="0" w:lastColumn="0" w:oddVBand="0" w:evenVBand="0" w:oddHBand="0" w:evenHBand="0" w:firstRowFirstColumn="0" w:firstRowLastColumn="0" w:lastRowFirstColumn="0" w:lastRowLastColumn="0"/>
            </w:pPr>
            <w:r w:rsidRPr="007D2A65">
              <w:t xml:space="preserve">This project has been referred under the EPBC Act, and construction is anticipated to be completed in October 2025. As such, potential impacts are expected to have a temporal relationship with the Western Renewables Link Project. </w:t>
            </w:r>
          </w:p>
        </w:tc>
        <w:tc>
          <w:tcPr>
            <w:tcW w:w="711" w:type="pct"/>
          </w:tcPr>
          <w:p w14:paraId="4590805D" w14:textId="206D0B99" w:rsidR="00137B7B" w:rsidRPr="00962015" w:rsidRDefault="00137B7B" w:rsidP="00137B7B">
            <w:pPr>
              <w:pStyle w:val="TableText"/>
              <w:cnfStyle w:val="000000000000" w:firstRow="0" w:lastRow="0" w:firstColumn="0" w:lastColumn="0" w:oddVBand="0" w:evenVBand="0" w:oddHBand="0" w:evenHBand="0" w:firstRowFirstColumn="0" w:firstRowLastColumn="0" w:lastRowFirstColumn="0" w:lastRowLastColumn="0"/>
            </w:pPr>
            <w:r w:rsidRPr="007D2A65">
              <w:t>Sufficient information is publicly available and environmental impact assessments were undertaken by the project proponent as part of the EPBC referral.</w:t>
            </w:r>
          </w:p>
        </w:tc>
        <w:tc>
          <w:tcPr>
            <w:tcW w:w="640" w:type="pct"/>
          </w:tcPr>
          <w:p w14:paraId="53995576" w14:textId="06A9D2E0" w:rsidR="00137B7B" w:rsidRDefault="00137B7B" w:rsidP="00137B7B">
            <w:pPr>
              <w:pStyle w:val="TableText"/>
              <w:cnfStyle w:val="000000000000" w:firstRow="0" w:lastRow="0" w:firstColumn="0" w:lastColumn="0" w:oddVBand="0" w:evenVBand="0" w:oddHBand="0" w:evenHBand="0" w:firstRowFirstColumn="0" w:firstRowLastColumn="0" w:lastRowFirstColumn="0" w:lastRowLastColumn="0"/>
            </w:pPr>
            <w:r w:rsidRPr="00137B7B">
              <w:t>None identified.</w:t>
            </w:r>
          </w:p>
        </w:tc>
      </w:tr>
      <w:tr w:rsidR="00137B7B" w14:paraId="0F3F6F0F" w14:textId="77777777" w:rsidTr="392788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5" w:type="pct"/>
          </w:tcPr>
          <w:p w14:paraId="55BA81D5" w14:textId="1879B7AD" w:rsidR="00137B7B" w:rsidRPr="00137B7B" w:rsidRDefault="00137B7B" w:rsidP="00137B7B">
            <w:pPr>
              <w:pStyle w:val="TableNumbers"/>
              <w:numPr>
                <w:ilvl w:val="0"/>
                <w:numId w:val="0"/>
              </w:numPr>
              <w:ind w:left="284" w:hanging="284"/>
            </w:pPr>
            <w:r w:rsidRPr="00137B7B">
              <w:lastRenderedPageBreak/>
              <w:t>16.</w:t>
            </w:r>
            <w:r w:rsidRPr="00137B7B">
              <w:tab/>
              <w:t>Coimadai Sand Quarry</w:t>
            </w:r>
          </w:p>
        </w:tc>
        <w:tc>
          <w:tcPr>
            <w:tcW w:w="1011" w:type="pct"/>
          </w:tcPr>
          <w:p w14:paraId="6F13A2BE" w14:textId="357EC5AA" w:rsidR="00137B7B" w:rsidRPr="00962015" w:rsidRDefault="00137B7B" w:rsidP="00DC42C3">
            <w:pPr>
              <w:pStyle w:val="TableText"/>
              <w:keepNext/>
              <w:keepLines/>
              <w:cnfStyle w:val="000000010000" w:firstRow="0" w:lastRow="0" w:firstColumn="0" w:lastColumn="0" w:oddVBand="0" w:evenVBand="0" w:oddHBand="0" w:evenHBand="1" w:firstRowFirstColumn="0" w:firstRowLastColumn="0" w:lastRowFirstColumn="0" w:lastRowLastColumn="0"/>
            </w:pPr>
            <w:r w:rsidRPr="007B7B27">
              <w:t>Re-establishment by Hanson for the purposes of extracting mineral resources (sand and gravel) over a 20-year period.</w:t>
            </w:r>
          </w:p>
        </w:tc>
        <w:tc>
          <w:tcPr>
            <w:tcW w:w="870" w:type="pct"/>
          </w:tcPr>
          <w:p w14:paraId="5F573A93" w14:textId="5B71DFCD" w:rsidR="00137B7B" w:rsidRPr="00962015" w:rsidRDefault="00137B7B" w:rsidP="00137B7B">
            <w:pPr>
              <w:pStyle w:val="TableText"/>
              <w:cnfStyle w:val="000000010000" w:firstRow="0" w:lastRow="0" w:firstColumn="0" w:lastColumn="0" w:oddVBand="0" w:evenVBand="0" w:oddHBand="0" w:evenHBand="1" w:firstRowFirstColumn="0" w:firstRowLastColumn="0" w:lastRowFirstColumn="0" w:lastRowLastColumn="0"/>
            </w:pPr>
            <w:r w:rsidRPr="007B7B27">
              <w:t xml:space="preserve">This project has a spatial relationship with the Western Renewables Link Project as it is located to the north of Seereys Road, Coimadai, approximately 1km north of Project Land. </w:t>
            </w:r>
          </w:p>
        </w:tc>
        <w:tc>
          <w:tcPr>
            <w:tcW w:w="1083" w:type="pct"/>
          </w:tcPr>
          <w:p w14:paraId="306EF471" w14:textId="3AA39B88" w:rsidR="00137B7B" w:rsidRPr="00962015" w:rsidRDefault="00137B7B" w:rsidP="00137B7B">
            <w:pPr>
              <w:pStyle w:val="TableText"/>
              <w:cnfStyle w:val="000000010000" w:firstRow="0" w:lastRow="0" w:firstColumn="0" w:lastColumn="0" w:oddVBand="0" w:evenVBand="0" w:oddHBand="0" w:evenHBand="1" w:firstRowFirstColumn="0" w:firstRowLastColumn="0" w:lastRowFirstColumn="0" w:lastRowLastColumn="0"/>
            </w:pPr>
            <w:r w:rsidRPr="007B7B27">
              <w:t xml:space="preserve">This project is undertaking assessment under the EPBC Act and requires approval. It is anticipated to be active for approximately 20 years following approval. As such, potential impacts are expected to have a temporal relationship with the Western Renewables Link Project. </w:t>
            </w:r>
          </w:p>
        </w:tc>
        <w:tc>
          <w:tcPr>
            <w:tcW w:w="711" w:type="pct"/>
          </w:tcPr>
          <w:p w14:paraId="2BA46121" w14:textId="31928500" w:rsidR="00137B7B" w:rsidRPr="00962015" w:rsidRDefault="00137B7B" w:rsidP="00137B7B">
            <w:pPr>
              <w:pStyle w:val="TableText"/>
              <w:cnfStyle w:val="000000010000" w:firstRow="0" w:lastRow="0" w:firstColumn="0" w:lastColumn="0" w:oddVBand="0" w:evenVBand="0" w:oddHBand="0" w:evenHBand="1" w:firstRowFirstColumn="0" w:firstRowLastColumn="0" w:lastRowFirstColumn="0" w:lastRowLastColumn="0"/>
            </w:pPr>
            <w:r w:rsidRPr="007B7B27">
              <w:t>Sufficient information is publicly available as environmental impact assessments were undertaken by the project proponent as part of the EPBC referral process.</w:t>
            </w:r>
          </w:p>
        </w:tc>
        <w:tc>
          <w:tcPr>
            <w:tcW w:w="640" w:type="pct"/>
          </w:tcPr>
          <w:p w14:paraId="7A744B30" w14:textId="77777777" w:rsidR="00137B7B" w:rsidRDefault="00137B7B" w:rsidP="00137B7B">
            <w:pPr>
              <w:pStyle w:val="TableBullet"/>
              <w:cnfStyle w:val="000000010000" w:firstRow="0" w:lastRow="0" w:firstColumn="0" w:lastColumn="0" w:oddVBand="0" w:evenVBand="0" w:oddHBand="0" w:evenHBand="1" w:firstRowFirstColumn="0" w:firstRowLastColumn="0" w:lastRowFirstColumn="0" w:lastRowLastColumn="0"/>
            </w:pPr>
            <w:r>
              <w:t>Bushfire</w:t>
            </w:r>
          </w:p>
          <w:p w14:paraId="5A756540" w14:textId="77777777" w:rsidR="00137B7B" w:rsidRDefault="00137B7B" w:rsidP="00137B7B">
            <w:pPr>
              <w:pStyle w:val="TableBullet"/>
              <w:cnfStyle w:val="000000010000" w:firstRow="0" w:lastRow="0" w:firstColumn="0" w:lastColumn="0" w:oddVBand="0" w:evenVBand="0" w:oddHBand="0" w:evenHBand="1" w:firstRowFirstColumn="0" w:firstRowLastColumn="0" w:lastRowFirstColumn="0" w:lastRowLastColumn="0"/>
            </w:pPr>
            <w:r>
              <w:t>Contaminated land</w:t>
            </w:r>
          </w:p>
          <w:p w14:paraId="64BA3485" w14:textId="77777777" w:rsidR="00137B7B" w:rsidRDefault="00137B7B" w:rsidP="00137B7B">
            <w:pPr>
              <w:pStyle w:val="TableBullet"/>
              <w:cnfStyle w:val="000000010000" w:firstRow="0" w:lastRow="0" w:firstColumn="0" w:lastColumn="0" w:oddVBand="0" w:evenVBand="0" w:oddHBand="0" w:evenHBand="1" w:firstRowFirstColumn="0" w:firstRowLastColumn="0" w:lastRowFirstColumn="0" w:lastRowLastColumn="0"/>
            </w:pPr>
            <w:r>
              <w:t>Groundwater</w:t>
            </w:r>
          </w:p>
          <w:p w14:paraId="567DBE36" w14:textId="77777777" w:rsidR="00137B7B" w:rsidRDefault="00137B7B" w:rsidP="00137B7B">
            <w:pPr>
              <w:pStyle w:val="TableBullet"/>
              <w:cnfStyle w:val="000000010000" w:firstRow="0" w:lastRow="0" w:firstColumn="0" w:lastColumn="0" w:oddVBand="0" w:evenVBand="0" w:oddHBand="0" w:evenHBand="1" w:firstRowFirstColumn="0" w:firstRowLastColumn="0" w:lastRowFirstColumn="0" w:lastRowLastColumn="0"/>
            </w:pPr>
            <w:r>
              <w:t xml:space="preserve">Landscape and visual amenity </w:t>
            </w:r>
          </w:p>
          <w:p w14:paraId="30F70D09" w14:textId="77777777" w:rsidR="00137B7B" w:rsidRDefault="00137B7B" w:rsidP="00137B7B">
            <w:pPr>
              <w:pStyle w:val="TableBullet"/>
              <w:cnfStyle w:val="000000010000" w:firstRow="0" w:lastRow="0" w:firstColumn="0" w:lastColumn="0" w:oddVBand="0" w:evenVBand="0" w:oddHBand="0" w:evenHBand="1" w:firstRowFirstColumn="0" w:firstRowLastColumn="0" w:lastRowFirstColumn="0" w:lastRowLastColumn="0"/>
            </w:pPr>
            <w:r>
              <w:t>Noise and vibration</w:t>
            </w:r>
          </w:p>
          <w:p w14:paraId="5C2EECCD" w14:textId="2977F499" w:rsidR="00137B7B" w:rsidRDefault="00137B7B" w:rsidP="00137B7B">
            <w:pPr>
              <w:pStyle w:val="TableBullet"/>
              <w:cnfStyle w:val="000000010000" w:firstRow="0" w:lastRow="0" w:firstColumn="0" w:lastColumn="0" w:oddVBand="0" w:evenVBand="0" w:oddHBand="0" w:evenHBand="1" w:firstRowFirstColumn="0" w:firstRowLastColumn="0" w:lastRowFirstColumn="0" w:lastRowLastColumn="0"/>
            </w:pPr>
            <w:r>
              <w:t>Surface water</w:t>
            </w:r>
            <w:r w:rsidR="002A1474">
              <w:t>.</w:t>
            </w:r>
          </w:p>
        </w:tc>
      </w:tr>
      <w:tr w:rsidR="00137B7B" w14:paraId="62E5BBAF" w14:textId="77777777" w:rsidTr="392788E3">
        <w:tc>
          <w:tcPr>
            <w:cnfStyle w:val="001000000000" w:firstRow="0" w:lastRow="0" w:firstColumn="1" w:lastColumn="0" w:oddVBand="0" w:evenVBand="0" w:oddHBand="0" w:evenHBand="0" w:firstRowFirstColumn="0" w:firstRowLastColumn="0" w:lastRowFirstColumn="0" w:lastRowLastColumn="0"/>
            <w:tcW w:w="685" w:type="pct"/>
          </w:tcPr>
          <w:p w14:paraId="0E4B5F45" w14:textId="47E2BC3F" w:rsidR="00137B7B" w:rsidRPr="00137B7B" w:rsidRDefault="00137B7B" w:rsidP="00137B7B">
            <w:pPr>
              <w:pStyle w:val="TableNumbers"/>
              <w:numPr>
                <w:ilvl w:val="0"/>
                <w:numId w:val="0"/>
              </w:numPr>
              <w:ind w:left="284" w:hanging="284"/>
            </w:pPr>
            <w:r w:rsidRPr="00137B7B">
              <w:t>17.</w:t>
            </w:r>
            <w:r w:rsidRPr="00137B7B">
              <w:tab/>
              <w:t>Sunbury Line Level Crossing Removals</w:t>
            </w:r>
          </w:p>
        </w:tc>
        <w:tc>
          <w:tcPr>
            <w:tcW w:w="1011" w:type="pct"/>
          </w:tcPr>
          <w:p w14:paraId="7C9287FE" w14:textId="71416626" w:rsidR="00137B7B" w:rsidRPr="00962015" w:rsidRDefault="00137B7B" w:rsidP="00137B7B">
            <w:pPr>
              <w:pStyle w:val="TableText"/>
              <w:cnfStyle w:val="000000000000" w:firstRow="0" w:lastRow="0" w:firstColumn="0" w:lastColumn="0" w:oddVBand="0" w:evenVBand="0" w:oddHBand="0" w:evenHBand="0" w:firstRowFirstColumn="0" w:firstRowLastColumn="0" w:lastRowFirstColumn="0" w:lastRowLastColumn="0"/>
            </w:pPr>
            <w:r w:rsidRPr="008B5B14">
              <w:t>Sunbury Line Level Crossing Removal project proposes the removal of level crossings at Calder Park Drive and Holden Road by building a new road bridge over the rail line. This project sits within a larger suite of works aimed at removing all level rail crossings along the Sunbury Line in 2025.</w:t>
            </w:r>
          </w:p>
        </w:tc>
        <w:tc>
          <w:tcPr>
            <w:tcW w:w="870" w:type="pct"/>
          </w:tcPr>
          <w:p w14:paraId="1C7828BE" w14:textId="74F8B298" w:rsidR="00137B7B" w:rsidRPr="00962015" w:rsidRDefault="00137B7B" w:rsidP="00137B7B">
            <w:pPr>
              <w:pStyle w:val="TableText"/>
              <w:cnfStyle w:val="000000000000" w:firstRow="0" w:lastRow="0" w:firstColumn="0" w:lastColumn="0" w:oddVBand="0" w:evenVBand="0" w:oddHBand="0" w:evenHBand="0" w:firstRowFirstColumn="0" w:firstRowLastColumn="0" w:lastRowFirstColumn="0" w:lastRowLastColumn="0"/>
            </w:pPr>
            <w:r w:rsidRPr="008B5B14">
              <w:t xml:space="preserve">This project is located along the Sunbury Train Line at Calder Park, within 1km of the eastern end of Project Land. As such, potential impacts are expected to have a spatial relationship with the Western Renewables Link Project. </w:t>
            </w:r>
          </w:p>
        </w:tc>
        <w:tc>
          <w:tcPr>
            <w:tcW w:w="1083" w:type="pct"/>
          </w:tcPr>
          <w:p w14:paraId="48BFB21A" w14:textId="03E86CA1" w:rsidR="00137B7B" w:rsidRPr="00962015" w:rsidRDefault="00137B7B" w:rsidP="00137B7B">
            <w:pPr>
              <w:pStyle w:val="TableText"/>
              <w:cnfStyle w:val="000000000000" w:firstRow="0" w:lastRow="0" w:firstColumn="0" w:lastColumn="0" w:oddVBand="0" w:evenVBand="0" w:oddHBand="0" w:evenHBand="0" w:firstRowFirstColumn="0" w:firstRowLastColumn="0" w:lastRowFirstColumn="0" w:lastRowLastColumn="0"/>
            </w:pPr>
            <w:r w:rsidRPr="008B5B14">
              <w:t>This project is undertaking assessment under the EPBC Act and requires approval. Construction is anticipated be completed in December 2025. As such, potential impacts are expected to have a temporal relationship with the Western Renewables Link Project.</w:t>
            </w:r>
          </w:p>
        </w:tc>
        <w:tc>
          <w:tcPr>
            <w:tcW w:w="711" w:type="pct"/>
          </w:tcPr>
          <w:p w14:paraId="7D20684F" w14:textId="069C1643" w:rsidR="00137B7B" w:rsidRPr="00962015" w:rsidRDefault="00137B7B" w:rsidP="00137B7B">
            <w:pPr>
              <w:pStyle w:val="TableText"/>
              <w:cnfStyle w:val="000000000000" w:firstRow="0" w:lastRow="0" w:firstColumn="0" w:lastColumn="0" w:oddVBand="0" w:evenVBand="0" w:oddHBand="0" w:evenHBand="0" w:firstRowFirstColumn="0" w:firstRowLastColumn="0" w:lastRowFirstColumn="0" w:lastRowLastColumn="0"/>
            </w:pPr>
            <w:r w:rsidRPr="008B5B14">
              <w:t>Sufficient information is publicly available as environmental impact assessments were undertaken by the project proponent as part of the EPBC referral process.</w:t>
            </w:r>
          </w:p>
        </w:tc>
        <w:tc>
          <w:tcPr>
            <w:tcW w:w="640" w:type="pct"/>
          </w:tcPr>
          <w:p w14:paraId="2BE3CA8C" w14:textId="77777777" w:rsidR="00137B7B" w:rsidRDefault="00137B7B" w:rsidP="00137B7B">
            <w:pPr>
              <w:pStyle w:val="TableBullet"/>
              <w:cnfStyle w:val="000000000000" w:firstRow="0" w:lastRow="0" w:firstColumn="0" w:lastColumn="0" w:oddVBand="0" w:evenVBand="0" w:oddHBand="0" w:evenHBand="0" w:firstRowFirstColumn="0" w:firstRowLastColumn="0" w:lastRowFirstColumn="0" w:lastRowLastColumn="0"/>
            </w:pPr>
            <w:r>
              <w:t xml:space="preserve">Aboriginal cultural heritage </w:t>
            </w:r>
          </w:p>
          <w:p w14:paraId="5F4E88DF" w14:textId="5CDE34AD" w:rsidR="00137B7B" w:rsidRDefault="00137B7B" w:rsidP="00137B7B">
            <w:pPr>
              <w:pStyle w:val="TableBullet"/>
              <w:cnfStyle w:val="000000000000" w:firstRow="0" w:lastRow="0" w:firstColumn="0" w:lastColumn="0" w:oddVBand="0" w:evenVBand="0" w:oddHBand="0" w:evenHBand="0" w:firstRowFirstColumn="0" w:firstRowLastColumn="0" w:lastRowFirstColumn="0" w:lastRowLastColumn="0"/>
            </w:pPr>
            <w:r>
              <w:t>Noise and vibration.</w:t>
            </w:r>
          </w:p>
        </w:tc>
      </w:tr>
      <w:tr w:rsidR="00137B7B" w14:paraId="7399E0C1" w14:textId="77777777" w:rsidTr="392788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5" w:type="pct"/>
          </w:tcPr>
          <w:p w14:paraId="689A192A" w14:textId="0C7C5A60" w:rsidR="00137B7B" w:rsidRPr="00137B7B" w:rsidRDefault="00137B7B" w:rsidP="00137B7B">
            <w:pPr>
              <w:pStyle w:val="TableNumbers"/>
              <w:numPr>
                <w:ilvl w:val="0"/>
                <w:numId w:val="0"/>
              </w:numPr>
              <w:ind w:left="284" w:hanging="284"/>
            </w:pPr>
            <w:r w:rsidRPr="00137B7B">
              <w:t>18.</w:t>
            </w:r>
            <w:r w:rsidRPr="00137B7B">
              <w:tab/>
              <w:t>Sydenham Terminal Station Rebuild</w:t>
            </w:r>
          </w:p>
        </w:tc>
        <w:tc>
          <w:tcPr>
            <w:tcW w:w="1011" w:type="pct"/>
          </w:tcPr>
          <w:p w14:paraId="7AC45298" w14:textId="0D046E4F" w:rsidR="00137B7B" w:rsidRPr="00962015" w:rsidRDefault="00137B7B" w:rsidP="00137B7B">
            <w:pPr>
              <w:pStyle w:val="TableText"/>
              <w:cnfStyle w:val="000000010000" w:firstRow="0" w:lastRow="0" w:firstColumn="0" w:lastColumn="0" w:oddVBand="0" w:evenVBand="0" w:oddHBand="0" w:evenHBand="1" w:firstRowFirstColumn="0" w:firstRowLastColumn="0" w:lastRowFirstColumn="0" w:lastRowLastColumn="0"/>
            </w:pPr>
            <w:r w:rsidRPr="00ED6338">
              <w:t>The Sydenham Terminal Station Rebuild is a critical infrastructure project that will replace the existing terminal station. This was removed from the Western Renewables Link Project EES referral in August 2023 and is being completed as a standalone project due to its urgency to ensure network reliability.</w:t>
            </w:r>
          </w:p>
        </w:tc>
        <w:tc>
          <w:tcPr>
            <w:tcW w:w="870" w:type="pct"/>
          </w:tcPr>
          <w:p w14:paraId="58A19877" w14:textId="7E087768" w:rsidR="00137B7B" w:rsidRPr="00962015" w:rsidRDefault="00137B7B" w:rsidP="00137B7B">
            <w:pPr>
              <w:pStyle w:val="TableText"/>
              <w:cnfStyle w:val="000000010000" w:firstRow="0" w:lastRow="0" w:firstColumn="0" w:lastColumn="0" w:oddVBand="0" w:evenVBand="0" w:oddHBand="0" w:evenHBand="1" w:firstRowFirstColumn="0" w:firstRowLastColumn="0" w:lastRowFirstColumn="0" w:lastRowLastColumn="0"/>
            </w:pPr>
            <w:r w:rsidRPr="00ED6338">
              <w:t>This project is located within the eastern end of Project Land in Plumpton. As such, it has a spatial relationship with the Western Renewables Link Project.</w:t>
            </w:r>
          </w:p>
        </w:tc>
        <w:tc>
          <w:tcPr>
            <w:tcW w:w="1083" w:type="pct"/>
          </w:tcPr>
          <w:p w14:paraId="4A62E1D3" w14:textId="25D9BF27" w:rsidR="00137B7B" w:rsidRPr="00962015" w:rsidRDefault="00137B7B" w:rsidP="00137B7B">
            <w:pPr>
              <w:pStyle w:val="TableText"/>
              <w:cnfStyle w:val="000000010000" w:firstRow="0" w:lastRow="0" w:firstColumn="0" w:lastColumn="0" w:oddVBand="0" w:evenVBand="0" w:oddHBand="0" w:evenHBand="1" w:firstRowFirstColumn="0" w:firstRowLastColumn="0" w:lastRowFirstColumn="0" w:lastRowLastColumn="0"/>
            </w:pPr>
            <w:r w:rsidRPr="00ED6338">
              <w:t xml:space="preserve">Following the removal of this Project from the Western Renewables Link Project EES referral, a planning permit was approved by the Minister for Planning. Construction started in April 2025 and is expected to be complete by early 2028. As the Western Renewables Link Project will connect to the rebuilt terminal station it is considered the project has a temporal relationship with the Western Renewables Link Project. </w:t>
            </w:r>
          </w:p>
        </w:tc>
        <w:tc>
          <w:tcPr>
            <w:tcW w:w="711" w:type="pct"/>
          </w:tcPr>
          <w:p w14:paraId="4E7E3843" w14:textId="2D870413" w:rsidR="00137B7B" w:rsidRPr="00962015" w:rsidRDefault="00137B7B" w:rsidP="00137B7B">
            <w:pPr>
              <w:pStyle w:val="TableText"/>
              <w:cnfStyle w:val="000000010000" w:firstRow="0" w:lastRow="0" w:firstColumn="0" w:lastColumn="0" w:oddVBand="0" w:evenVBand="0" w:oddHBand="0" w:evenHBand="1" w:firstRowFirstColumn="0" w:firstRowLastColumn="0" w:lastRowFirstColumn="0" w:lastRowLastColumn="0"/>
            </w:pPr>
            <w:r w:rsidRPr="00ED6338">
              <w:t>Sufficient information is publicly available.</w:t>
            </w:r>
          </w:p>
        </w:tc>
        <w:tc>
          <w:tcPr>
            <w:tcW w:w="640" w:type="pct"/>
          </w:tcPr>
          <w:p w14:paraId="39537278" w14:textId="77777777" w:rsidR="00137B7B" w:rsidRDefault="00137B7B" w:rsidP="00137B7B">
            <w:pPr>
              <w:pStyle w:val="TableBullet"/>
              <w:cnfStyle w:val="000000010000" w:firstRow="0" w:lastRow="0" w:firstColumn="0" w:lastColumn="0" w:oddVBand="0" w:evenVBand="0" w:oddHBand="0" w:evenHBand="1" w:firstRowFirstColumn="0" w:firstRowLastColumn="0" w:lastRowFirstColumn="0" w:lastRowLastColumn="0"/>
            </w:pPr>
            <w:r>
              <w:t xml:space="preserve">Aboriginal cultural heritage </w:t>
            </w:r>
          </w:p>
          <w:p w14:paraId="515B3DDC" w14:textId="77777777" w:rsidR="00137B7B" w:rsidRDefault="00137B7B" w:rsidP="00137B7B">
            <w:pPr>
              <w:pStyle w:val="TableBullet"/>
              <w:cnfStyle w:val="000000010000" w:firstRow="0" w:lastRow="0" w:firstColumn="0" w:lastColumn="0" w:oddVBand="0" w:evenVBand="0" w:oddHBand="0" w:evenHBand="1" w:firstRowFirstColumn="0" w:firstRowLastColumn="0" w:lastRowFirstColumn="0" w:lastRowLastColumn="0"/>
            </w:pPr>
            <w:r>
              <w:t>Bushfire</w:t>
            </w:r>
          </w:p>
          <w:p w14:paraId="3460F9B7" w14:textId="77777777" w:rsidR="00137B7B" w:rsidRDefault="00137B7B" w:rsidP="00137B7B">
            <w:pPr>
              <w:pStyle w:val="TableBullet"/>
              <w:cnfStyle w:val="000000010000" w:firstRow="0" w:lastRow="0" w:firstColumn="0" w:lastColumn="0" w:oddVBand="0" w:evenVBand="0" w:oddHBand="0" w:evenHBand="1" w:firstRowFirstColumn="0" w:firstRowLastColumn="0" w:lastRowFirstColumn="0" w:lastRowLastColumn="0"/>
            </w:pPr>
            <w:r>
              <w:t>Geology and soils</w:t>
            </w:r>
          </w:p>
          <w:p w14:paraId="07589E53" w14:textId="77777777" w:rsidR="00137B7B" w:rsidRDefault="00137B7B" w:rsidP="00137B7B">
            <w:pPr>
              <w:pStyle w:val="TableBullet"/>
              <w:cnfStyle w:val="000000010000" w:firstRow="0" w:lastRow="0" w:firstColumn="0" w:lastColumn="0" w:oddVBand="0" w:evenVBand="0" w:oddHBand="0" w:evenHBand="1" w:firstRowFirstColumn="0" w:firstRowLastColumn="0" w:lastRowFirstColumn="0" w:lastRowLastColumn="0"/>
            </w:pPr>
            <w:r>
              <w:t>Landscape and visual amenity</w:t>
            </w:r>
          </w:p>
          <w:p w14:paraId="6DBE9C82" w14:textId="77777777" w:rsidR="00137B7B" w:rsidRDefault="00137B7B" w:rsidP="00137B7B">
            <w:pPr>
              <w:pStyle w:val="TableBullet"/>
              <w:cnfStyle w:val="000000010000" w:firstRow="0" w:lastRow="0" w:firstColumn="0" w:lastColumn="0" w:oddVBand="0" w:evenVBand="0" w:oddHBand="0" w:evenHBand="1" w:firstRowFirstColumn="0" w:firstRowLastColumn="0" w:lastRowFirstColumn="0" w:lastRowLastColumn="0"/>
            </w:pPr>
            <w:r>
              <w:t>Noise and vibration</w:t>
            </w:r>
          </w:p>
          <w:p w14:paraId="5B414FA9" w14:textId="44871692" w:rsidR="00137B7B" w:rsidRDefault="00137B7B" w:rsidP="00137B7B">
            <w:pPr>
              <w:pStyle w:val="TableBullet"/>
              <w:cnfStyle w:val="000000010000" w:firstRow="0" w:lastRow="0" w:firstColumn="0" w:lastColumn="0" w:oddVBand="0" w:evenVBand="0" w:oddHBand="0" w:evenHBand="1" w:firstRowFirstColumn="0" w:firstRowLastColumn="0" w:lastRowFirstColumn="0" w:lastRowLastColumn="0"/>
            </w:pPr>
            <w:r>
              <w:t>Transport.</w:t>
            </w:r>
          </w:p>
        </w:tc>
      </w:tr>
      <w:tr w:rsidR="00137B7B" w14:paraId="2A2A149A" w14:textId="77777777" w:rsidTr="392788E3">
        <w:tc>
          <w:tcPr>
            <w:cnfStyle w:val="001000000000" w:firstRow="0" w:lastRow="0" w:firstColumn="1" w:lastColumn="0" w:oddVBand="0" w:evenVBand="0" w:oddHBand="0" w:evenHBand="0" w:firstRowFirstColumn="0" w:firstRowLastColumn="0" w:lastRowFirstColumn="0" w:lastRowLastColumn="0"/>
            <w:tcW w:w="685" w:type="pct"/>
          </w:tcPr>
          <w:p w14:paraId="65763E3D" w14:textId="2B8CEADB" w:rsidR="00137B7B" w:rsidRPr="00137B7B" w:rsidRDefault="00137B7B" w:rsidP="00137B7B">
            <w:pPr>
              <w:pStyle w:val="TableNumbers"/>
              <w:numPr>
                <w:ilvl w:val="0"/>
                <w:numId w:val="0"/>
              </w:numPr>
              <w:ind w:left="284" w:hanging="284"/>
            </w:pPr>
            <w:r w:rsidRPr="00137B7B">
              <w:lastRenderedPageBreak/>
              <w:t>19.</w:t>
            </w:r>
            <w:r w:rsidRPr="00137B7B">
              <w:tab/>
              <w:t>Toolern Vale Solar Farm</w:t>
            </w:r>
          </w:p>
        </w:tc>
        <w:tc>
          <w:tcPr>
            <w:tcW w:w="1011" w:type="pct"/>
          </w:tcPr>
          <w:p w14:paraId="043E8521" w14:textId="24ECE5B8" w:rsidR="00137B7B" w:rsidRPr="00962015" w:rsidRDefault="00137B7B" w:rsidP="00DC42C3">
            <w:pPr>
              <w:pStyle w:val="TableText"/>
              <w:keepNext/>
              <w:keepLines/>
              <w:cnfStyle w:val="000000000000" w:firstRow="0" w:lastRow="0" w:firstColumn="0" w:lastColumn="0" w:oddVBand="0" w:evenVBand="0" w:oddHBand="0" w:evenHBand="0" w:firstRowFirstColumn="0" w:firstRowLastColumn="0" w:lastRowFirstColumn="0" w:lastRowLastColumn="0"/>
            </w:pPr>
            <w:r w:rsidRPr="00C97B84">
              <w:t>Toolern Vale Solar Farm, a 12.5MW solar and storage project approved by the Minister for Planning.</w:t>
            </w:r>
          </w:p>
        </w:tc>
        <w:tc>
          <w:tcPr>
            <w:tcW w:w="870" w:type="pct"/>
          </w:tcPr>
          <w:p w14:paraId="6D85E3BB" w14:textId="2F358688" w:rsidR="00137B7B" w:rsidRPr="00962015" w:rsidRDefault="00137B7B" w:rsidP="00DC42C3">
            <w:pPr>
              <w:pStyle w:val="TableText"/>
              <w:keepNext/>
              <w:keepLines/>
              <w:cnfStyle w:val="000000000000" w:firstRow="0" w:lastRow="0" w:firstColumn="0" w:lastColumn="0" w:oddVBand="0" w:evenVBand="0" w:oddHBand="0" w:evenHBand="0" w:firstRowFirstColumn="0" w:firstRowLastColumn="0" w:lastRowFirstColumn="0" w:lastRowLastColumn="0"/>
            </w:pPr>
            <w:r w:rsidRPr="00C97B84">
              <w:t xml:space="preserve">This project is located at 1375-1415 Holden Rd, Toolern Vale, and is directly adjacent to Project Land. As such, potential impacts are expected to have a spatial relationship with the Western Renewables Link Project. </w:t>
            </w:r>
          </w:p>
        </w:tc>
        <w:tc>
          <w:tcPr>
            <w:tcW w:w="1083" w:type="pct"/>
          </w:tcPr>
          <w:p w14:paraId="447E653C" w14:textId="3376DC35" w:rsidR="00137B7B" w:rsidRPr="00962015" w:rsidRDefault="00137B7B" w:rsidP="00DC42C3">
            <w:pPr>
              <w:pStyle w:val="TableText"/>
              <w:keepNext/>
              <w:keepLines/>
              <w:cnfStyle w:val="000000000000" w:firstRow="0" w:lastRow="0" w:firstColumn="0" w:lastColumn="0" w:oddVBand="0" w:evenVBand="0" w:oddHBand="0" w:evenHBand="0" w:firstRowFirstColumn="0" w:firstRowLastColumn="0" w:lastRowFirstColumn="0" w:lastRowLastColumn="0"/>
            </w:pPr>
            <w:r w:rsidRPr="00C97B84">
              <w:t>This project has been delayed due to council and community opposition; however, the decision to grant a permit was affirmed by the Victorian Civil and Administrative Tribunal (VCAT) in 2022. The permit will expire if development has not begun by March 2026, or if it is not completed by March 2028. As such, it is expected that there will be a temporal relationship with the Western Renewables Link Project.</w:t>
            </w:r>
          </w:p>
        </w:tc>
        <w:tc>
          <w:tcPr>
            <w:tcW w:w="711" w:type="pct"/>
          </w:tcPr>
          <w:p w14:paraId="3FFE82A4" w14:textId="71EABE0F" w:rsidR="00137B7B" w:rsidRPr="00962015" w:rsidRDefault="00137B7B" w:rsidP="00DC42C3">
            <w:pPr>
              <w:pStyle w:val="TableText"/>
              <w:keepNext/>
              <w:keepLines/>
              <w:cnfStyle w:val="000000000000" w:firstRow="0" w:lastRow="0" w:firstColumn="0" w:lastColumn="0" w:oddVBand="0" w:evenVBand="0" w:oddHBand="0" w:evenHBand="0" w:firstRowFirstColumn="0" w:firstRowLastColumn="0" w:lastRowFirstColumn="0" w:lastRowLastColumn="0"/>
            </w:pPr>
            <w:r w:rsidRPr="00C97B84">
              <w:t>Sufficient information is publicly available as environmental impact assessments were discussed in the Victorian Civil and Administrative Tribunal appeal.</w:t>
            </w:r>
          </w:p>
        </w:tc>
        <w:tc>
          <w:tcPr>
            <w:tcW w:w="640" w:type="pct"/>
          </w:tcPr>
          <w:p w14:paraId="524F1E21" w14:textId="77777777" w:rsidR="00137B7B" w:rsidRDefault="00137B7B" w:rsidP="00DC42C3">
            <w:pPr>
              <w:pStyle w:val="TableBullet"/>
              <w:keepNext/>
              <w:keepLines/>
              <w:cnfStyle w:val="000000000000" w:firstRow="0" w:lastRow="0" w:firstColumn="0" w:lastColumn="0" w:oddVBand="0" w:evenVBand="0" w:oddHBand="0" w:evenHBand="0" w:firstRowFirstColumn="0" w:firstRowLastColumn="0" w:lastRowFirstColumn="0" w:lastRowLastColumn="0"/>
            </w:pPr>
            <w:r>
              <w:t xml:space="preserve">Aboriginal cultural heritage </w:t>
            </w:r>
          </w:p>
          <w:p w14:paraId="4043A876" w14:textId="77777777" w:rsidR="00137B7B" w:rsidRDefault="00137B7B" w:rsidP="00DC42C3">
            <w:pPr>
              <w:pStyle w:val="TableBullet"/>
              <w:keepNext/>
              <w:keepLines/>
              <w:cnfStyle w:val="000000000000" w:firstRow="0" w:lastRow="0" w:firstColumn="0" w:lastColumn="0" w:oddVBand="0" w:evenVBand="0" w:oddHBand="0" w:evenHBand="0" w:firstRowFirstColumn="0" w:firstRowLastColumn="0" w:lastRowFirstColumn="0" w:lastRowLastColumn="0"/>
            </w:pPr>
            <w:r>
              <w:t>Bushfire</w:t>
            </w:r>
          </w:p>
          <w:p w14:paraId="7EA293DA" w14:textId="77777777" w:rsidR="00137B7B" w:rsidRDefault="00137B7B" w:rsidP="00DC42C3">
            <w:pPr>
              <w:pStyle w:val="TableBullet"/>
              <w:keepNext/>
              <w:keepLines/>
              <w:cnfStyle w:val="000000000000" w:firstRow="0" w:lastRow="0" w:firstColumn="0" w:lastColumn="0" w:oddVBand="0" w:evenVBand="0" w:oddHBand="0" w:evenHBand="0" w:firstRowFirstColumn="0" w:firstRowLastColumn="0" w:lastRowFirstColumn="0" w:lastRowLastColumn="0"/>
            </w:pPr>
            <w:r>
              <w:t>Contaminated land</w:t>
            </w:r>
          </w:p>
          <w:p w14:paraId="3E0EFBFF" w14:textId="77777777" w:rsidR="00137B7B" w:rsidRDefault="00137B7B" w:rsidP="00DC42C3">
            <w:pPr>
              <w:pStyle w:val="TableBullet"/>
              <w:keepNext/>
              <w:keepLines/>
              <w:cnfStyle w:val="000000000000" w:firstRow="0" w:lastRow="0" w:firstColumn="0" w:lastColumn="0" w:oddVBand="0" w:evenVBand="0" w:oddHBand="0" w:evenHBand="0" w:firstRowFirstColumn="0" w:firstRowLastColumn="0" w:lastRowFirstColumn="0" w:lastRowLastColumn="0"/>
            </w:pPr>
            <w:r>
              <w:t>Geology and soils</w:t>
            </w:r>
          </w:p>
          <w:p w14:paraId="5FE62B65" w14:textId="77777777" w:rsidR="00137B7B" w:rsidRDefault="00137B7B" w:rsidP="00DC42C3">
            <w:pPr>
              <w:pStyle w:val="TableBullet"/>
              <w:keepNext/>
              <w:keepLines/>
              <w:cnfStyle w:val="000000000000" w:firstRow="0" w:lastRow="0" w:firstColumn="0" w:lastColumn="0" w:oddVBand="0" w:evenVBand="0" w:oddHBand="0" w:evenHBand="0" w:firstRowFirstColumn="0" w:firstRowLastColumn="0" w:lastRowFirstColumn="0" w:lastRowLastColumn="0"/>
            </w:pPr>
            <w:r>
              <w:t>Landscape and visual amenity</w:t>
            </w:r>
          </w:p>
          <w:p w14:paraId="1C1B9FA7" w14:textId="77777777" w:rsidR="00137B7B" w:rsidRDefault="00137B7B" w:rsidP="00DC42C3">
            <w:pPr>
              <w:pStyle w:val="TableBullet"/>
              <w:keepNext/>
              <w:keepLines/>
              <w:cnfStyle w:val="000000000000" w:firstRow="0" w:lastRow="0" w:firstColumn="0" w:lastColumn="0" w:oddVBand="0" w:evenVBand="0" w:oddHBand="0" w:evenHBand="0" w:firstRowFirstColumn="0" w:firstRowLastColumn="0" w:lastRowFirstColumn="0" w:lastRowLastColumn="0"/>
            </w:pPr>
            <w:r>
              <w:t>Noise and vibration</w:t>
            </w:r>
          </w:p>
          <w:p w14:paraId="21E6B13C" w14:textId="6AC89AF6" w:rsidR="00137B7B" w:rsidRDefault="00137B7B" w:rsidP="00DC42C3">
            <w:pPr>
              <w:pStyle w:val="TableBullet"/>
              <w:keepNext/>
              <w:keepLines/>
              <w:cnfStyle w:val="000000000000" w:firstRow="0" w:lastRow="0" w:firstColumn="0" w:lastColumn="0" w:oddVBand="0" w:evenVBand="0" w:oddHBand="0" w:evenHBand="0" w:firstRowFirstColumn="0" w:firstRowLastColumn="0" w:lastRowFirstColumn="0" w:lastRowLastColumn="0"/>
            </w:pPr>
            <w:r>
              <w:t>Surface water.</w:t>
            </w:r>
          </w:p>
        </w:tc>
      </w:tr>
      <w:tr w:rsidR="00137B7B" w14:paraId="2EE9FA2C" w14:textId="77777777" w:rsidTr="392788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5" w:type="pct"/>
          </w:tcPr>
          <w:p w14:paraId="079811F6" w14:textId="410511BF" w:rsidR="00137B7B" w:rsidRPr="00137B7B" w:rsidRDefault="00137B7B" w:rsidP="00137B7B">
            <w:pPr>
              <w:pStyle w:val="TableNumbers"/>
              <w:numPr>
                <w:ilvl w:val="0"/>
                <w:numId w:val="0"/>
              </w:numPr>
              <w:ind w:left="284" w:hanging="284"/>
            </w:pPr>
            <w:r w:rsidRPr="00137B7B">
              <w:t>20.</w:t>
            </w:r>
            <w:r w:rsidRPr="00137B7B">
              <w:tab/>
              <w:t>Victoria to New South Wales Interconnector (VNI) West</w:t>
            </w:r>
          </w:p>
        </w:tc>
        <w:tc>
          <w:tcPr>
            <w:tcW w:w="1011" w:type="pct"/>
          </w:tcPr>
          <w:p w14:paraId="6FF5C841" w14:textId="7D45B780" w:rsidR="00137B7B" w:rsidRPr="00962015" w:rsidRDefault="00137B7B" w:rsidP="00137B7B">
            <w:pPr>
              <w:pStyle w:val="TableText"/>
              <w:cnfStyle w:val="000000010000" w:firstRow="0" w:lastRow="0" w:firstColumn="0" w:lastColumn="0" w:oddVBand="0" w:evenVBand="0" w:oddHBand="0" w:evenHBand="1" w:firstRowFirstColumn="0" w:firstRowLastColumn="0" w:lastRowFirstColumn="0" w:lastRowLastColumn="0"/>
            </w:pPr>
            <w:r w:rsidRPr="00177632">
              <w:t xml:space="preserve">A proposed new high-capacity overhead transmission line connecting renewable energy zones in New South Wales and Victoria. </w:t>
            </w:r>
          </w:p>
        </w:tc>
        <w:tc>
          <w:tcPr>
            <w:tcW w:w="870" w:type="pct"/>
          </w:tcPr>
          <w:p w14:paraId="4310672A" w14:textId="769D93D2" w:rsidR="00137B7B" w:rsidRPr="00962015" w:rsidRDefault="00137B7B" w:rsidP="00137B7B">
            <w:pPr>
              <w:pStyle w:val="TableText"/>
              <w:cnfStyle w:val="000000010000" w:firstRow="0" w:lastRow="0" w:firstColumn="0" w:lastColumn="0" w:oddVBand="0" w:evenVBand="0" w:oddHBand="0" w:evenHBand="1" w:firstRowFirstColumn="0" w:firstRowLastColumn="0" w:lastRowFirstColumn="0" w:lastRowLastColumn="0"/>
            </w:pPr>
            <w:r w:rsidRPr="00177632">
              <w:t>This preferred option for this project connects with the Western Renewables Link Project at Bulgana. As such, it has a spatial relationship with the Western Renewables Link Project.</w:t>
            </w:r>
          </w:p>
        </w:tc>
        <w:tc>
          <w:tcPr>
            <w:tcW w:w="1083" w:type="pct"/>
          </w:tcPr>
          <w:p w14:paraId="67529258" w14:textId="163CD5E7" w:rsidR="00137B7B" w:rsidRPr="00962015" w:rsidRDefault="00137B7B" w:rsidP="00137B7B">
            <w:pPr>
              <w:pStyle w:val="TableText"/>
              <w:cnfStyle w:val="000000010000" w:firstRow="0" w:lastRow="0" w:firstColumn="0" w:lastColumn="0" w:oddVBand="0" w:evenVBand="0" w:oddHBand="0" w:evenHBand="1" w:firstRowFirstColumn="0" w:firstRowLastColumn="0" w:lastRowFirstColumn="0" w:lastRowLastColumn="0"/>
            </w:pPr>
            <w:r w:rsidRPr="00177632">
              <w:t xml:space="preserve">The project is in the initial planning phase and therefore, there is limited information available publicly regarding project timeline or impacts. However, as the Western Renewables Link Project will connect to VNI West infrastructure it is considered the project has a temporal relationship with the Western Renewables Link Project. </w:t>
            </w:r>
          </w:p>
        </w:tc>
        <w:tc>
          <w:tcPr>
            <w:tcW w:w="711" w:type="pct"/>
          </w:tcPr>
          <w:p w14:paraId="65C51CDF" w14:textId="36E6C713" w:rsidR="00137B7B" w:rsidRPr="00962015" w:rsidRDefault="00137B7B" w:rsidP="00137B7B">
            <w:pPr>
              <w:pStyle w:val="TableText"/>
              <w:cnfStyle w:val="000000010000" w:firstRow="0" w:lastRow="0" w:firstColumn="0" w:lastColumn="0" w:oddVBand="0" w:evenVBand="0" w:oddHBand="0" w:evenHBand="1" w:firstRowFirstColumn="0" w:firstRowLastColumn="0" w:lastRowFirstColumn="0" w:lastRowLastColumn="0"/>
            </w:pPr>
            <w:r w:rsidRPr="00177632">
              <w:t>Sufficient information is publicly available.</w:t>
            </w:r>
          </w:p>
        </w:tc>
        <w:tc>
          <w:tcPr>
            <w:tcW w:w="640" w:type="pct"/>
          </w:tcPr>
          <w:p w14:paraId="2BCA3B28" w14:textId="77777777" w:rsidR="00137B7B" w:rsidRDefault="00137B7B" w:rsidP="00137B7B">
            <w:pPr>
              <w:pStyle w:val="TableBullet"/>
              <w:cnfStyle w:val="000000010000" w:firstRow="0" w:lastRow="0" w:firstColumn="0" w:lastColumn="0" w:oddVBand="0" w:evenVBand="0" w:oddHBand="0" w:evenHBand="1" w:firstRowFirstColumn="0" w:firstRowLastColumn="0" w:lastRowFirstColumn="0" w:lastRowLastColumn="0"/>
            </w:pPr>
            <w:r>
              <w:t>Aboriginal cultural heritage</w:t>
            </w:r>
          </w:p>
          <w:p w14:paraId="084C4281" w14:textId="77777777" w:rsidR="00137B7B" w:rsidRDefault="00137B7B" w:rsidP="00137B7B">
            <w:pPr>
              <w:pStyle w:val="TableBullet"/>
              <w:cnfStyle w:val="000000010000" w:firstRow="0" w:lastRow="0" w:firstColumn="0" w:lastColumn="0" w:oddVBand="0" w:evenVBand="0" w:oddHBand="0" w:evenHBand="1" w:firstRowFirstColumn="0" w:firstRowLastColumn="0" w:lastRowFirstColumn="0" w:lastRowLastColumn="0"/>
            </w:pPr>
            <w:r>
              <w:t>Agriculture and forestry</w:t>
            </w:r>
          </w:p>
          <w:p w14:paraId="70A00196" w14:textId="77777777" w:rsidR="00137B7B" w:rsidRDefault="00137B7B" w:rsidP="00137B7B">
            <w:pPr>
              <w:pStyle w:val="TableBullet"/>
              <w:cnfStyle w:val="000000010000" w:firstRow="0" w:lastRow="0" w:firstColumn="0" w:lastColumn="0" w:oddVBand="0" w:evenVBand="0" w:oddHBand="0" w:evenHBand="1" w:firstRowFirstColumn="0" w:firstRowLastColumn="0" w:lastRowFirstColumn="0" w:lastRowLastColumn="0"/>
            </w:pPr>
            <w:r>
              <w:t>Bushfire</w:t>
            </w:r>
          </w:p>
          <w:p w14:paraId="4569D692" w14:textId="77777777" w:rsidR="00137B7B" w:rsidRDefault="00137B7B" w:rsidP="00137B7B">
            <w:pPr>
              <w:pStyle w:val="TableBullet"/>
              <w:cnfStyle w:val="000000010000" w:firstRow="0" w:lastRow="0" w:firstColumn="0" w:lastColumn="0" w:oddVBand="0" w:evenVBand="0" w:oddHBand="0" w:evenHBand="1" w:firstRowFirstColumn="0" w:firstRowLastColumn="0" w:lastRowFirstColumn="0" w:lastRowLastColumn="0"/>
            </w:pPr>
            <w:r>
              <w:t>Contaminated land</w:t>
            </w:r>
          </w:p>
          <w:p w14:paraId="08597B48" w14:textId="77777777" w:rsidR="00137B7B" w:rsidRDefault="00137B7B" w:rsidP="00137B7B">
            <w:pPr>
              <w:pStyle w:val="TableBullet"/>
              <w:cnfStyle w:val="000000010000" w:firstRow="0" w:lastRow="0" w:firstColumn="0" w:lastColumn="0" w:oddVBand="0" w:evenVBand="0" w:oddHBand="0" w:evenHBand="1" w:firstRowFirstColumn="0" w:firstRowLastColumn="0" w:lastRowFirstColumn="0" w:lastRowLastColumn="0"/>
            </w:pPr>
            <w:r>
              <w:t>Geology and soils</w:t>
            </w:r>
          </w:p>
          <w:p w14:paraId="6BDB1D45" w14:textId="77777777" w:rsidR="00137B7B" w:rsidRDefault="00137B7B" w:rsidP="00137B7B">
            <w:pPr>
              <w:pStyle w:val="TableBullet"/>
              <w:cnfStyle w:val="000000010000" w:firstRow="0" w:lastRow="0" w:firstColumn="0" w:lastColumn="0" w:oddVBand="0" w:evenVBand="0" w:oddHBand="0" w:evenHBand="1" w:firstRowFirstColumn="0" w:firstRowLastColumn="0" w:lastRowFirstColumn="0" w:lastRowLastColumn="0"/>
            </w:pPr>
            <w:r>
              <w:t>Groundwater</w:t>
            </w:r>
          </w:p>
          <w:p w14:paraId="4FFECF09" w14:textId="77777777" w:rsidR="00137B7B" w:rsidRDefault="00137B7B" w:rsidP="00137B7B">
            <w:pPr>
              <w:pStyle w:val="TableBullet"/>
              <w:cnfStyle w:val="000000010000" w:firstRow="0" w:lastRow="0" w:firstColumn="0" w:lastColumn="0" w:oddVBand="0" w:evenVBand="0" w:oddHBand="0" w:evenHBand="1" w:firstRowFirstColumn="0" w:firstRowLastColumn="0" w:lastRowFirstColumn="0" w:lastRowLastColumn="0"/>
            </w:pPr>
            <w:r>
              <w:t>Landscape and visual amenity</w:t>
            </w:r>
          </w:p>
          <w:p w14:paraId="7D59668E" w14:textId="77777777" w:rsidR="00137B7B" w:rsidRDefault="00137B7B" w:rsidP="00137B7B">
            <w:pPr>
              <w:pStyle w:val="TableBullet"/>
              <w:cnfStyle w:val="000000010000" w:firstRow="0" w:lastRow="0" w:firstColumn="0" w:lastColumn="0" w:oddVBand="0" w:evenVBand="0" w:oddHBand="0" w:evenHBand="1" w:firstRowFirstColumn="0" w:firstRowLastColumn="0" w:lastRowFirstColumn="0" w:lastRowLastColumn="0"/>
            </w:pPr>
            <w:r>
              <w:t>Noise and vibration</w:t>
            </w:r>
          </w:p>
          <w:p w14:paraId="55F18E39" w14:textId="69C05111" w:rsidR="00137B7B" w:rsidRDefault="00137B7B" w:rsidP="00137B7B">
            <w:pPr>
              <w:pStyle w:val="TableBullet"/>
              <w:cnfStyle w:val="000000010000" w:firstRow="0" w:lastRow="0" w:firstColumn="0" w:lastColumn="0" w:oddVBand="0" w:evenVBand="0" w:oddHBand="0" w:evenHBand="1" w:firstRowFirstColumn="0" w:firstRowLastColumn="0" w:lastRowFirstColumn="0" w:lastRowLastColumn="0"/>
            </w:pPr>
            <w:r>
              <w:t>Surface water.</w:t>
            </w:r>
          </w:p>
        </w:tc>
      </w:tr>
      <w:tr w:rsidR="001C440C" w14:paraId="1D7B23FF" w14:textId="77777777" w:rsidTr="392788E3">
        <w:tc>
          <w:tcPr>
            <w:cnfStyle w:val="001000000000" w:firstRow="0" w:lastRow="0" w:firstColumn="1" w:lastColumn="0" w:oddVBand="0" w:evenVBand="0" w:oddHBand="0" w:evenHBand="0" w:firstRowFirstColumn="0" w:firstRowLastColumn="0" w:lastRowFirstColumn="0" w:lastRowLastColumn="0"/>
            <w:tcW w:w="685" w:type="pct"/>
          </w:tcPr>
          <w:p w14:paraId="21A331FA" w14:textId="22823748" w:rsidR="001C440C" w:rsidRPr="007942E1" w:rsidRDefault="001C440C" w:rsidP="007942E1">
            <w:pPr>
              <w:pStyle w:val="TableNumbers"/>
              <w:numPr>
                <w:ilvl w:val="0"/>
                <w:numId w:val="0"/>
              </w:numPr>
              <w:ind w:left="284" w:hanging="284"/>
              <w:rPr>
                <w:b w:val="0"/>
              </w:rPr>
            </w:pPr>
            <w:r w:rsidRPr="001C440C">
              <w:lastRenderedPageBreak/>
              <w:t>21.</w:t>
            </w:r>
            <w:r w:rsidRPr="001C440C">
              <w:tab/>
              <w:t>Watta Wella Renewable Energy Project</w:t>
            </w:r>
          </w:p>
        </w:tc>
        <w:tc>
          <w:tcPr>
            <w:tcW w:w="1011" w:type="pct"/>
          </w:tcPr>
          <w:p w14:paraId="0CC1113A" w14:textId="0C7DFEAB" w:rsidR="001C440C" w:rsidRPr="00962015" w:rsidRDefault="001C440C" w:rsidP="00DC42C3">
            <w:pPr>
              <w:pStyle w:val="TableText"/>
              <w:keepNext/>
              <w:keepLines/>
              <w:cnfStyle w:val="000000000000" w:firstRow="0" w:lastRow="0" w:firstColumn="0" w:lastColumn="0" w:oddVBand="0" w:evenVBand="0" w:oddHBand="0" w:evenHBand="0" w:firstRowFirstColumn="0" w:firstRowLastColumn="0" w:lastRowFirstColumn="0" w:lastRowLastColumn="0"/>
            </w:pPr>
            <w:r w:rsidRPr="000B0228">
              <w:t xml:space="preserve">Watta Wella Renewable Energy Project, consisting of three co-located renewable energy projects - a wind farm, solar farm and battery energy storage facility. </w:t>
            </w:r>
          </w:p>
        </w:tc>
        <w:tc>
          <w:tcPr>
            <w:tcW w:w="870" w:type="pct"/>
          </w:tcPr>
          <w:p w14:paraId="65BE8388" w14:textId="589F9A32" w:rsidR="001C440C" w:rsidRPr="00962015" w:rsidRDefault="001C440C" w:rsidP="00DC42C3">
            <w:pPr>
              <w:pStyle w:val="TableText"/>
              <w:keepNext/>
              <w:keepLines/>
              <w:cnfStyle w:val="000000000000" w:firstRow="0" w:lastRow="0" w:firstColumn="0" w:lastColumn="0" w:oddVBand="0" w:evenVBand="0" w:oddHBand="0" w:evenHBand="0" w:firstRowFirstColumn="0" w:firstRowLastColumn="0" w:lastRowFirstColumn="0" w:lastRowLastColumn="0"/>
            </w:pPr>
            <w:r w:rsidRPr="000B0228">
              <w:t>This project is located at 465 Vineyard Road, Concongella, approximately 6km from the western end of Project Land. As such, potential impacts are expected to have a spatial relationship with the Western Renewables Link Project.</w:t>
            </w:r>
          </w:p>
        </w:tc>
        <w:tc>
          <w:tcPr>
            <w:tcW w:w="1083" w:type="pct"/>
          </w:tcPr>
          <w:p w14:paraId="58C8F1B7" w14:textId="7DEB5337" w:rsidR="001C440C" w:rsidRPr="00962015" w:rsidRDefault="001C440C" w:rsidP="00DC42C3">
            <w:pPr>
              <w:pStyle w:val="TableText"/>
              <w:keepNext/>
              <w:keepLines/>
              <w:cnfStyle w:val="000000000000" w:firstRow="0" w:lastRow="0" w:firstColumn="0" w:lastColumn="0" w:oddVBand="0" w:evenVBand="0" w:oddHBand="0" w:evenHBand="0" w:firstRowFirstColumn="0" w:firstRowLastColumn="0" w:lastRowFirstColumn="0" w:lastRowLastColumn="0"/>
            </w:pPr>
            <w:r w:rsidRPr="000B0228">
              <w:t>Construction is anticipated to begin in late 2027 following the approval of planning applications. As such, potential impacts are expected to have a temporal relationship with the Western Renewables Link Project.</w:t>
            </w:r>
          </w:p>
        </w:tc>
        <w:tc>
          <w:tcPr>
            <w:tcW w:w="711" w:type="pct"/>
          </w:tcPr>
          <w:p w14:paraId="2FEDD63E" w14:textId="47E46A21" w:rsidR="001C440C" w:rsidRPr="00962015" w:rsidRDefault="001C440C" w:rsidP="00DC42C3">
            <w:pPr>
              <w:pStyle w:val="TableText"/>
              <w:keepNext/>
              <w:keepLines/>
              <w:cnfStyle w:val="000000000000" w:firstRow="0" w:lastRow="0" w:firstColumn="0" w:lastColumn="0" w:oddVBand="0" w:evenVBand="0" w:oddHBand="0" w:evenHBand="0" w:firstRowFirstColumn="0" w:firstRowLastColumn="0" w:lastRowFirstColumn="0" w:lastRowLastColumn="0"/>
            </w:pPr>
            <w:r w:rsidRPr="000B0228">
              <w:t>Sufficient information is publicly available as environmental impact assessments were undertaken by the project proponent.</w:t>
            </w:r>
          </w:p>
        </w:tc>
        <w:tc>
          <w:tcPr>
            <w:tcW w:w="640" w:type="pct"/>
          </w:tcPr>
          <w:p w14:paraId="7F37DB91" w14:textId="77777777" w:rsidR="001C440C" w:rsidRDefault="001C440C" w:rsidP="00DC42C3">
            <w:pPr>
              <w:pStyle w:val="TableBullet"/>
              <w:keepNext/>
              <w:keepLines/>
              <w:cnfStyle w:val="000000000000" w:firstRow="0" w:lastRow="0" w:firstColumn="0" w:lastColumn="0" w:oddVBand="0" w:evenVBand="0" w:oddHBand="0" w:evenHBand="0" w:firstRowFirstColumn="0" w:firstRowLastColumn="0" w:lastRowFirstColumn="0" w:lastRowLastColumn="0"/>
            </w:pPr>
            <w:r>
              <w:t>Aboriginal cultural heritage</w:t>
            </w:r>
          </w:p>
          <w:p w14:paraId="1CEF3CC5" w14:textId="77777777" w:rsidR="001C440C" w:rsidRDefault="001C440C" w:rsidP="00DC42C3">
            <w:pPr>
              <w:pStyle w:val="TableBullet"/>
              <w:keepNext/>
              <w:keepLines/>
              <w:cnfStyle w:val="000000000000" w:firstRow="0" w:lastRow="0" w:firstColumn="0" w:lastColumn="0" w:oddVBand="0" w:evenVBand="0" w:oddHBand="0" w:evenHBand="0" w:firstRowFirstColumn="0" w:firstRowLastColumn="0" w:lastRowFirstColumn="0" w:lastRowLastColumn="0"/>
            </w:pPr>
            <w:r>
              <w:t>Agriculture and forestry</w:t>
            </w:r>
          </w:p>
          <w:p w14:paraId="5240DD6B" w14:textId="20FB050B" w:rsidR="001C440C" w:rsidRDefault="001C440C" w:rsidP="00DC42C3">
            <w:pPr>
              <w:pStyle w:val="TableBullet"/>
              <w:keepNext/>
              <w:keepLines/>
              <w:cnfStyle w:val="000000000000" w:firstRow="0" w:lastRow="0" w:firstColumn="0" w:lastColumn="0" w:oddVBand="0" w:evenVBand="0" w:oddHBand="0" w:evenHBand="0" w:firstRowFirstColumn="0" w:firstRowLastColumn="0" w:lastRowFirstColumn="0" w:lastRowLastColumn="0"/>
            </w:pPr>
            <w:r>
              <w:t>Bushfire.</w:t>
            </w:r>
          </w:p>
        </w:tc>
      </w:tr>
      <w:tr w:rsidR="001C440C" w14:paraId="0821537F" w14:textId="77777777" w:rsidTr="392788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5" w:type="pct"/>
          </w:tcPr>
          <w:p w14:paraId="0A829ADF" w14:textId="7BD56CEE" w:rsidR="001C440C" w:rsidRPr="001C440C" w:rsidRDefault="001C440C" w:rsidP="001C440C">
            <w:pPr>
              <w:pStyle w:val="TableNumbers"/>
              <w:numPr>
                <w:ilvl w:val="0"/>
                <w:numId w:val="25"/>
              </w:numPr>
            </w:pPr>
            <w:r w:rsidRPr="001C440C">
              <w:t>West Gate Tunnel (formerly the Western Distributor Project)</w:t>
            </w:r>
          </w:p>
        </w:tc>
        <w:tc>
          <w:tcPr>
            <w:tcW w:w="1011" w:type="pct"/>
          </w:tcPr>
          <w:p w14:paraId="4F7C0A45" w14:textId="6B6ADCCB" w:rsidR="001C440C" w:rsidRDefault="001C440C" w:rsidP="001C440C">
            <w:pPr>
              <w:pStyle w:val="TableText"/>
              <w:cnfStyle w:val="000000010000" w:firstRow="0" w:lastRow="0" w:firstColumn="0" w:lastColumn="0" w:oddVBand="0" w:evenVBand="0" w:oddHBand="0" w:evenHBand="1" w:firstRowFirstColumn="0" w:firstRowLastColumn="0" w:lastRowFirstColumn="0" w:lastRowLastColumn="0"/>
            </w:pPr>
            <w:r w:rsidRPr="00FB05FF">
              <w:t>A proposed new tunnel and elevated motorway and widening of the existing West Gate Freeway.</w:t>
            </w:r>
          </w:p>
        </w:tc>
        <w:tc>
          <w:tcPr>
            <w:tcW w:w="870" w:type="pct"/>
          </w:tcPr>
          <w:p w14:paraId="64A2C7D0" w14:textId="7DA54BBB" w:rsidR="001C440C" w:rsidRDefault="001C440C" w:rsidP="001C440C">
            <w:pPr>
              <w:pStyle w:val="TableText"/>
              <w:cnfStyle w:val="000000010000" w:firstRow="0" w:lastRow="0" w:firstColumn="0" w:lastColumn="0" w:oddVBand="0" w:evenVBand="0" w:oddHBand="0" w:evenHBand="1" w:firstRowFirstColumn="0" w:firstRowLastColumn="0" w:lastRowFirstColumn="0" w:lastRowLastColumn="0"/>
            </w:pPr>
            <w:r w:rsidRPr="00FB05FF">
              <w:t>The project is located far east of the eastern end of the Western Renewables Link Project; however, a spatial relationship is considered to exist due to the shared use of construction transport and haulage routes.</w:t>
            </w:r>
          </w:p>
        </w:tc>
        <w:tc>
          <w:tcPr>
            <w:tcW w:w="1083" w:type="pct"/>
          </w:tcPr>
          <w:p w14:paraId="53D87318" w14:textId="49574C07" w:rsidR="001C440C" w:rsidRDefault="001C440C" w:rsidP="001C440C">
            <w:pPr>
              <w:pStyle w:val="TableText"/>
              <w:cnfStyle w:val="000000010000" w:firstRow="0" w:lastRow="0" w:firstColumn="0" w:lastColumn="0" w:oddVBand="0" w:evenVBand="0" w:oddHBand="0" w:evenHBand="1" w:firstRowFirstColumn="0" w:firstRowLastColumn="0" w:lastRowFirstColumn="0" w:lastRowLastColumn="0"/>
            </w:pPr>
            <w:r w:rsidRPr="00FB05FF">
              <w:t xml:space="preserve">Major construction of this project began in 2018 and is anticipated to continue into late 2025. As such, potential impacts are expected to have a temporal relationship with the Western Renewables Link Project. </w:t>
            </w:r>
          </w:p>
        </w:tc>
        <w:tc>
          <w:tcPr>
            <w:tcW w:w="711" w:type="pct"/>
          </w:tcPr>
          <w:p w14:paraId="31C43537" w14:textId="350C9591" w:rsidR="001C440C" w:rsidRDefault="001C440C" w:rsidP="001C440C">
            <w:pPr>
              <w:pStyle w:val="TableText"/>
              <w:cnfStyle w:val="000000010000" w:firstRow="0" w:lastRow="0" w:firstColumn="0" w:lastColumn="0" w:oddVBand="0" w:evenVBand="0" w:oddHBand="0" w:evenHBand="1" w:firstRowFirstColumn="0" w:firstRowLastColumn="0" w:lastRowFirstColumn="0" w:lastRowLastColumn="0"/>
            </w:pPr>
            <w:r w:rsidRPr="00FB05FF">
              <w:t>Sufficient information is publicly available as environmental impact assessments were undertaken by the project proponent as part of the EES process.</w:t>
            </w:r>
          </w:p>
        </w:tc>
        <w:tc>
          <w:tcPr>
            <w:tcW w:w="640" w:type="pct"/>
          </w:tcPr>
          <w:p w14:paraId="73CFCE05" w14:textId="77777777" w:rsidR="001C440C" w:rsidRDefault="001C440C" w:rsidP="001C440C">
            <w:pPr>
              <w:pStyle w:val="TableBullet"/>
              <w:cnfStyle w:val="000000010000" w:firstRow="0" w:lastRow="0" w:firstColumn="0" w:lastColumn="0" w:oddVBand="0" w:evenVBand="0" w:oddHBand="0" w:evenHBand="1" w:firstRowFirstColumn="0" w:firstRowLastColumn="0" w:lastRowFirstColumn="0" w:lastRowLastColumn="0"/>
            </w:pPr>
            <w:r>
              <w:t xml:space="preserve">Social </w:t>
            </w:r>
          </w:p>
          <w:p w14:paraId="4F3A3C1F" w14:textId="061F7A00" w:rsidR="001C440C" w:rsidRDefault="001C440C" w:rsidP="001C440C">
            <w:pPr>
              <w:pStyle w:val="TableBullet"/>
              <w:cnfStyle w:val="000000010000" w:firstRow="0" w:lastRow="0" w:firstColumn="0" w:lastColumn="0" w:oddVBand="0" w:evenVBand="0" w:oddHBand="0" w:evenHBand="1" w:firstRowFirstColumn="0" w:firstRowLastColumn="0" w:lastRowFirstColumn="0" w:lastRowLastColumn="0"/>
            </w:pPr>
            <w:r>
              <w:t>Transport.</w:t>
            </w:r>
          </w:p>
        </w:tc>
      </w:tr>
      <w:tr w:rsidR="001C440C" w14:paraId="601990B9" w14:textId="77777777" w:rsidTr="392788E3">
        <w:tc>
          <w:tcPr>
            <w:cnfStyle w:val="001000000000" w:firstRow="0" w:lastRow="0" w:firstColumn="1" w:lastColumn="0" w:oddVBand="0" w:evenVBand="0" w:oddHBand="0" w:evenHBand="0" w:firstRowFirstColumn="0" w:firstRowLastColumn="0" w:lastRowFirstColumn="0" w:lastRowLastColumn="0"/>
            <w:tcW w:w="685" w:type="pct"/>
          </w:tcPr>
          <w:p w14:paraId="234F701B" w14:textId="62ED748A" w:rsidR="001C440C" w:rsidRDefault="001C440C" w:rsidP="001C440C">
            <w:pPr>
              <w:pStyle w:val="TableNumbers"/>
            </w:pPr>
            <w:r w:rsidRPr="001C440C">
              <w:t>Western Irrigation Network Scheme – Recycled Water Supply Infrastructure Project</w:t>
            </w:r>
          </w:p>
        </w:tc>
        <w:tc>
          <w:tcPr>
            <w:tcW w:w="1011" w:type="pct"/>
          </w:tcPr>
          <w:p w14:paraId="398C8CCF" w14:textId="12BBC5EA" w:rsidR="001C440C" w:rsidRDefault="001C440C" w:rsidP="001C440C">
            <w:pPr>
              <w:pStyle w:val="TableText"/>
              <w:cnfStyle w:val="000000000000" w:firstRow="0" w:lastRow="0" w:firstColumn="0" w:lastColumn="0" w:oddVBand="0" w:evenVBand="0" w:oddHBand="0" w:evenHBand="0" w:firstRowFirstColumn="0" w:firstRowLastColumn="0" w:lastRowFirstColumn="0" w:lastRowLastColumn="0"/>
            </w:pPr>
            <w:r w:rsidRPr="005E4AB9">
              <w:t>A large-scale irrigation project that will deliver a new, secure source of Class C recycled water for irrigation of farmland in the Parwan-Balliang agricultural district in Melbourne’s outer west. The recycled water is produced in Melton and Bacchus Marsh.</w:t>
            </w:r>
          </w:p>
        </w:tc>
        <w:tc>
          <w:tcPr>
            <w:tcW w:w="870" w:type="pct"/>
          </w:tcPr>
          <w:p w14:paraId="6002A23C" w14:textId="48A46EBC" w:rsidR="001C440C" w:rsidRDefault="001C440C" w:rsidP="001C440C">
            <w:pPr>
              <w:pStyle w:val="TableText"/>
              <w:cnfStyle w:val="000000000000" w:firstRow="0" w:lastRow="0" w:firstColumn="0" w:lastColumn="0" w:oddVBand="0" w:evenVBand="0" w:oddHBand="0" w:evenHBand="0" w:firstRowFirstColumn="0" w:firstRowLastColumn="0" w:lastRowFirstColumn="0" w:lastRowLastColumn="0"/>
            </w:pPr>
            <w:r w:rsidRPr="005E4AB9">
              <w:t>This is a large-scale project, that intersects with the Western Renewables Link Project between Bacchus Marsh, Melton, and Sunbury. As such, it has a spatial relationship with the Western Renewables Link Project.</w:t>
            </w:r>
          </w:p>
        </w:tc>
        <w:tc>
          <w:tcPr>
            <w:tcW w:w="1083" w:type="pct"/>
          </w:tcPr>
          <w:p w14:paraId="6016CB1C" w14:textId="6738FC22" w:rsidR="001C440C" w:rsidRDefault="001C440C" w:rsidP="001C440C">
            <w:pPr>
              <w:pStyle w:val="TableText"/>
              <w:cnfStyle w:val="000000000000" w:firstRow="0" w:lastRow="0" w:firstColumn="0" w:lastColumn="0" w:oddVBand="0" w:evenVBand="0" w:oddHBand="0" w:evenHBand="0" w:firstRowFirstColumn="0" w:firstRowLastColumn="0" w:lastRowFirstColumn="0" w:lastRowLastColumn="0"/>
            </w:pPr>
            <w:r w:rsidRPr="005E4AB9">
              <w:t xml:space="preserve">In August 2021 it was determined that an EES was not required for this project, subject to certain conditions. Construction of the interconnector pipeline between Sunbury and Melton Recycled Water Plants is planned to be undertaken from 2023 to 2025. As such, potential impacts are expected to have a temporal relationship with the Western Renewables Link Project. </w:t>
            </w:r>
          </w:p>
        </w:tc>
        <w:tc>
          <w:tcPr>
            <w:tcW w:w="711" w:type="pct"/>
          </w:tcPr>
          <w:p w14:paraId="657ADFEA" w14:textId="102D9C64" w:rsidR="001C440C" w:rsidRDefault="001C440C" w:rsidP="001C440C">
            <w:pPr>
              <w:pStyle w:val="TableText"/>
              <w:cnfStyle w:val="000000000000" w:firstRow="0" w:lastRow="0" w:firstColumn="0" w:lastColumn="0" w:oddVBand="0" w:evenVBand="0" w:oddHBand="0" w:evenHBand="0" w:firstRowFirstColumn="0" w:firstRowLastColumn="0" w:lastRowFirstColumn="0" w:lastRowLastColumn="0"/>
            </w:pPr>
            <w:r w:rsidRPr="005E4AB9">
              <w:t>Sufficient information is publicly available as environmental impact assessments were undertaken by the project proponent as part of the EES referral process.</w:t>
            </w:r>
          </w:p>
        </w:tc>
        <w:tc>
          <w:tcPr>
            <w:tcW w:w="640" w:type="pct"/>
          </w:tcPr>
          <w:p w14:paraId="4942DC5B" w14:textId="77777777" w:rsidR="001C440C" w:rsidRDefault="001C440C" w:rsidP="001C440C">
            <w:pPr>
              <w:pStyle w:val="TableBullet"/>
              <w:cnfStyle w:val="000000000000" w:firstRow="0" w:lastRow="0" w:firstColumn="0" w:lastColumn="0" w:oddVBand="0" w:evenVBand="0" w:oddHBand="0" w:evenHBand="0" w:firstRowFirstColumn="0" w:firstRowLastColumn="0" w:lastRowFirstColumn="0" w:lastRowLastColumn="0"/>
            </w:pPr>
            <w:r>
              <w:t>Aboriginal cultural heritage</w:t>
            </w:r>
          </w:p>
          <w:p w14:paraId="250C7556" w14:textId="77777777" w:rsidR="001C440C" w:rsidRDefault="001C440C" w:rsidP="001C440C">
            <w:pPr>
              <w:pStyle w:val="TableBullet"/>
              <w:cnfStyle w:val="000000000000" w:firstRow="0" w:lastRow="0" w:firstColumn="0" w:lastColumn="0" w:oddVBand="0" w:evenVBand="0" w:oddHBand="0" w:evenHBand="0" w:firstRowFirstColumn="0" w:firstRowLastColumn="0" w:lastRowFirstColumn="0" w:lastRowLastColumn="0"/>
            </w:pPr>
            <w:r>
              <w:t>Agriculture and forestry</w:t>
            </w:r>
          </w:p>
          <w:p w14:paraId="69FE3BC2" w14:textId="77777777" w:rsidR="001C440C" w:rsidRDefault="001C440C" w:rsidP="001C440C">
            <w:pPr>
              <w:pStyle w:val="TableBullet"/>
              <w:cnfStyle w:val="000000000000" w:firstRow="0" w:lastRow="0" w:firstColumn="0" w:lastColumn="0" w:oddVBand="0" w:evenVBand="0" w:oddHBand="0" w:evenHBand="0" w:firstRowFirstColumn="0" w:firstRowLastColumn="0" w:lastRowFirstColumn="0" w:lastRowLastColumn="0"/>
            </w:pPr>
            <w:r>
              <w:t>Geology and soils</w:t>
            </w:r>
          </w:p>
          <w:p w14:paraId="35ECFFAE" w14:textId="5947614F" w:rsidR="001C440C" w:rsidRDefault="001C440C" w:rsidP="001C440C">
            <w:pPr>
              <w:pStyle w:val="TableBullet"/>
              <w:cnfStyle w:val="000000000000" w:firstRow="0" w:lastRow="0" w:firstColumn="0" w:lastColumn="0" w:oddVBand="0" w:evenVBand="0" w:oddHBand="0" w:evenHBand="0" w:firstRowFirstColumn="0" w:firstRowLastColumn="0" w:lastRowFirstColumn="0" w:lastRowLastColumn="0"/>
            </w:pPr>
            <w:r>
              <w:t>Surface water.</w:t>
            </w:r>
          </w:p>
        </w:tc>
      </w:tr>
    </w:tbl>
    <w:p w14:paraId="5CE0CFDD" w14:textId="77777777" w:rsidR="001C440C" w:rsidRDefault="001C440C" w:rsidP="00137B7B">
      <w:pPr>
        <w:tabs>
          <w:tab w:val="right" w:pos="14002"/>
        </w:tabs>
        <w:sectPr w:rsidR="001C440C" w:rsidSect="00A03B48">
          <w:footnotePr>
            <w:numFmt w:val="chicago"/>
            <w:numRestart w:val="eachPage"/>
          </w:footnotePr>
          <w:pgSz w:w="16838" w:h="11906" w:orient="landscape" w:code="9"/>
          <w:pgMar w:top="1418" w:right="1418" w:bottom="1418" w:left="1418" w:header="1134" w:footer="340" w:gutter="0"/>
          <w:pgNumType w:chapStyle="1"/>
          <w:cols w:space="708"/>
          <w:docGrid w:linePitch="360"/>
        </w:sectPr>
      </w:pPr>
    </w:p>
    <w:p w14:paraId="2C3099DC" w14:textId="6C2F921D" w:rsidR="00137B7B" w:rsidRDefault="001C440C" w:rsidP="001C440C">
      <w:pPr>
        <w:pStyle w:val="Heading5"/>
      </w:pPr>
      <w:r>
        <w:lastRenderedPageBreak/>
        <w:t>Assessment of cumulative impacts</w:t>
      </w:r>
    </w:p>
    <w:p w14:paraId="66BDA398" w14:textId="5E647917" w:rsidR="001C440C" w:rsidRDefault="001C440C" w:rsidP="001C440C">
      <w:r w:rsidRPr="001C440C">
        <w:t>To identify potentially significant adverse cumulative impacts, technical specialists undertook a review of:</w:t>
      </w:r>
    </w:p>
    <w:p w14:paraId="127B3986" w14:textId="25A7EA90" w:rsidR="001C440C" w:rsidRDefault="001C440C" w:rsidP="001C440C">
      <w:pPr>
        <w:pStyle w:val="ListBullet"/>
      </w:pPr>
      <w:r>
        <w:t>Relevant future projects that may be developed within the same geographic area and over the same time as the Western Renewables Link Project (</w:t>
      </w:r>
      <w:r w:rsidR="004D149C">
        <w:fldChar w:fldCharType="begin"/>
      </w:r>
      <w:r w:rsidR="004D149C">
        <w:instrText xml:space="preserve"> REF _Ref197943505 \h </w:instrText>
      </w:r>
      <w:r w:rsidR="004D149C">
        <w:fldChar w:fldCharType="separate"/>
      </w:r>
      <w:r w:rsidR="004D149C">
        <w:t xml:space="preserve">Table </w:t>
      </w:r>
      <w:r w:rsidR="004D149C">
        <w:rPr>
          <w:noProof/>
        </w:rPr>
        <w:t>4</w:t>
      </w:r>
      <w:r w:rsidR="004D149C">
        <w:t>.</w:t>
      </w:r>
      <w:r w:rsidR="004D149C">
        <w:rPr>
          <w:noProof/>
        </w:rPr>
        <w:t>2</w:t>
      </w:r>
      <w:r w:rsidR="004D149C">
        <w:fldChar w:fldCharType="end"/>
      </w:r>
      <w:r>
        <w:t>)</w:t>
      </w:r>
    </w:p>
    <w:p w14:paraId="1C5A8ACB" w14:textId="77777777" w:rsidR="001C440C" w:rsidRDefault="001C440C" w:rsidP="001C440C">
      <w:pPr>
        <w:pStyle w:val="ListBullet"/>
      </w:pPr>
      <w:r>
        <w:t>Relevant existing or potential legislation, plans, policies or guidelines, including strategic plans developed by local and state government</w:t>
      </w:r>
    </w:p>
    <w:p w14:paraId="588B61AA" w14:textId="77777777" w:rsidR="001C440C" w:rsidRDefault="001C440C" w:rsidP="001C440C">
      <w:pPr>
        <w:pStyle w:val="ListBullet"/>
      </w:pPr>
      <w:r>
        <w:t>Key aspects that could be significantly affected by the impacts of these projects</w:t>
      </w:r>
    </w:p>
    <w:p w14:paraId="762EA161" w14:textId="77777777" w:rsidR="001C440C" w:rsidRDefault="001C440C" w:rsidP="001C440C">
      <w:pPr>
        <w:pStyle w:val="ListBullet"/>
      </w:pPr>
      <w:r>
        <w:t>The likely scale and nature of the cumulative impacts of these projects when considered in conjunction with the Western Renewables Link Project.</w:t>
      </w:r>
    </w:p>
    <w:p w14:paraId="4823C6CA" w14:textId="600AA530" w:rsidR="001C440C" w:rsidRDefault="001C440C" w:rsidP="001C440C">
      <w:r w:rsidRPr="001C440C">
        <w:t>The following principles were adopted in the assessment of cumulative impacts:</w:t>
      </w:r>
    </w:p>
    <w:p w14:paraId="0BEE4B38" w14:textId="77777777" w:rsidR="001C440C" w:rsidRDefault="001C440C" w:rsidP="001C440C">
      <w:pPr>
        <w:pStyle w:val="ListBullet"/>
      </w:pPr>
      <w:r>
        <w:t xml:space="preserve">Consideration of the potentially significant adverse impacts of the Western Renewables Link Project (such as threatened species and communities, ambient noise levels in certain locations, regional housing availability and affordability), together with the impacts of other relevant future projects. </w:t>
      </w:r>
    </w:p>
    <w:p w14:paraId="4FC84C07" w14:textId="77777777" w:rsidR="001C440C" w:rsidRDefault="001C440C" w:rsidP="001C440C">
      <w:pPr>
        <w:pStyle w:val="ListBullet"/>
      </w:pPr>
      <w:r>
        <w:t>The CIA undertaken for each technical report was proportionate to the scale and potential significance of the impacts of the Western Renewables Link Project. For example, if the Western Renewables Link Project does not make a material contribution to the cumulative impacts, then the recommended EPRs for the Western Renewables Link Project will be sufficient to reduce impacts and additional EPRs are not required.</w:t>
      </w:r>
    </w:p>
    <w:p w14:paraId="52199A95" w14:textId="77777777" w:rsidR="001C440C" w:rsidRDefault="001C440C" w:rsidP="001C440C">
      <w:pPr>
        <w:pStyle w:val="ListBullet"/>
      </w:pPr>
      <w:r>
        <w:t>The CIA focusses on the key issues that are reasonably proximate to the Western Renewables Link Project and within the proponent’s control – recognising that it is not practical or reasonable to require the proponent to identify, assess and manage the impacts of other projects.</w:t>
      </w:r>
    </w:p>
    <w:p w14:paraId="3B4C3180" w14:textId="77777777" w:rsidR="001C440C" w:rsidRDefault="001C440C" w:rsidP="001C440C">
      <w:pPr>
        <w:pStyle w:val="ListBullet"/>
      </w:pPr>
      <w:r>
        <w:t>Managing cumulative impacts is a shared responsibility. This means that in undertaking the CIA and identifying relevant EPRs, the proponent of the Western Renewables Link Project may need to work with the proponents of other projects, the owners/operators of other infrastructure and activities, government, industry and the community to identify and assess cumulative impacts and determine what actions can be taken to mitigate and manage these impacts.</w:t>
      </w:r>
    </w:p>
    <w:p w14:paraId="091B73B3" w14:textId="45F25281" w:rsidR="001C440C" w:rsidRDefault="001C440C" w:rsidP="001C440C">
      <w:r w:rsidRPr="001C440C">
        <w:t>If the CIA identified Western Renewables Link Project could make a material contribution to cumulative impacts, that is, where potentially significant adverse cumulative impacts were identified due to the Western Renewables Link Project, technical specialists identified further measures to minimise the Western Renewables Link Project contribution to these impacts.</w:t>
      </w:r>
    </w:p>
    <w:p w14:paraId="799E06AE" w14:textId="5BA8C595" w:rsidR="001C440C" w:rsidRDefault="001C440C" w:rsidP="00986843">
      <w:pPr>
        <w:pStyle w:val="Heading2"/>
      </w:pPr>
      <w:r w:rsidRPr="00791758">
        <w:t>Environmental</w:t>
      </w:r>
      <w:r>
        <w:t xml:space="preserve"> Management Framework</w:t>
      </w:r>
    </w:p>
    <w:p w14:paraId="7825281B" w14:textId="77777777" w:rsidR="001C440C" w:rsidRDefault="001C440C" w:rsidP="001C440C">
      <w:r>
        <w:t xml:space="preserve">The Environmental Management Framework sets out a framework for how the proponent will manage the Project’s identified environmental impacts and sets clear accountabilities for the delivery and monitoring of compliance with Project approvals. </w:t>
      </w:r>
    </w:p>
    <w:p w14:paraId="659C214D" w14:textId="4480980F" w:rsidR="001C440C" w:rsidRDefault="001C440C" w:rsidP="001C440C">
      <w:r>
        <w:t>The Environmental Management Framework includes:</w:t>
      </w:r>
    </w:p>
    <w:p w14:paraId="20377345" w14:textId="77777777" w:rsidR="001C440C" w:rsidRDefault="001C440C" w:rsidP="007942E1">
      <w:pPr>
        <w:pStyle w:val="ListBullet"/>
        <w:spacing w:after="120"/>
      </w:pPr>
      <w:r>
        <w:t>The context of required approvals and consents</w:t>
      </w:r>
    </w:p>
    <w:p w14:paraId="0A4DE88C" w14:textId="77777777" w:rsidR="001C440C" w:rsidRDefault="001C440C" w:rsidP="007942E1">
      <w:pPr>
        <w:pStyle w:val="ListBullet"/>
        <w:spacing w:after="120"/>
      </w:pPr>
      <w:r>
        <w:t>The proposed environmental management system to be adopted</w:t>
      </w:r>
    </w:p>
    <w:p w14:paraId="69DF0B76" w14:textId="77777777" w:rsidR="001C440C" w:rsidRDefault="001C440C" w:rsidP="007942E1">
      <w:pPr>
        <w:pStyle w:val="ListBullet"/>
        <w:spacing w:after="120"/>
      </w:pPr>
      <w:r>
        <w:t>Organisational responsibilities and accountabilities for environmental management</w:t>
      </w:r>
    </w:p>
    <w:p w14:paraId="2CC7AE72" w14:textId="77777777" w:rsidR="001C440C" w:rsidRDefault="001C440C" w:rsidP="007942E1">
      <w:pPr>
        <w:pStyle w:val="ListBullet"/>
        <w:spacing w:after="120"/>
      </w:pPr>
      <w:r>
        <w:t>A description of the environmental risk assessment process to be maintained during Project construction and operation</w:t>
      </w:r>
    </w:p>
    <w:p w14:paraId="037C1991" w14:textId="77777777" w:rsidR="001C440C" w:rsidRDefault="001C440C" w:rsidP="007942E1">
      <w:pPr>
        <w:pStyle w:val="ListBullet"/>
        <w:spacing w:after="120"/>
      </w:pPr>
      <w:r>
        <w:t>An overview of events for which contingency measures will be developed to respond to unexpected but foreseeable environmental risks, should they eventuate</w:t>
      </w:r>
    </w:p>
    <w:p w14:paraId="4AED9476" w14:textId="77777777" w:rsidR="001C440C" w:rsidRDefault="001C440C" w:rsidP="007942E1">
      <w:pPr>
        <w:pStyle w:val="ListBullet"/>
        <w:spacing w:after="120"/>
      </w:pPr>
      <w:r>
        <w:lastRenderedPageBreak/>
        <w:t>The EPRs proposed to avoid, minimise, manage, rehabilitate and offset impacts. These are informed by the mitigation measures considered by the technical assessments, and define environmental outcomes as well as other environmental management requirements</w:t>
      </w:r>
    </w:p>
    <w:p w14:paraId="176542F8" w14:textId="77777777" w:rsidR="001C440C" w:rsidRDefault="001C440C" w:rsidP="007942E1">
      <w:pPr>
        <w:pStyle w:val="ListBullet"/>
        <w:spacing w:after="120"/>
      </w:pPr>
      <w:r>
        <w:t>Requirements for monitoring, auditing a reporting of compliance with the Environmental Management Framework</w:t>
      </w:r>
    </w:p>
    <w:p w14:paraId="22C6DE3D" w14:textId="77777777" w:rsidR="001C440C" w:rsidRDefault="001C440C" w:rsidP="001C440C">
      <w:pPr>
        <w:pStyle w:val="ListBullet"/>
      </w:pPr>
      <w:r>
        <w:t>Requirements for community consultation, stakeholder engagement and communications.</w:t>
      </w:r>
    </w:p>
    <w:p w14:paraId="61DD5479" w14:textId="77777777" w:rsidR="001C440C" w:rsidRDefault="001C440C" w:rsidP="001C440C">
      <w:r>
        <w:t xml:space="preserve">The EPRs will be implemented through the Environmental Management Framework, as a condition of the Incorporated Document. The Incorporated Document will be included in the six council Planning Schemes through a GC Planning Scheme Amendment. AusNet and its Principal Contractor will be responsible for complying with the Environmental Management Framework and EPRs and, as such, contractual requirements will reflect the Environmental Management Framework and EPRs where appropriate. </w:t>
      </w:r>
    </w:p>
    <w:p w14:paraId="4C336020" w14:textId="02FE839F" w:rsidR="001C440C" w:rsidRDefault="001C440C" w:rsidP="001C440C">
      <w:pPr>
        <w:rPr>
          <w:b/>
          <w:bCs/>
        </w:rPr>
      </w:pPr>
      <w:r>
        <w:t xml:space="preserve">The proposed Environmental Management Framework and EPRs are presented in </w:t>
      </w:r>
      <w:r w:rsidRPr="001C440C">
        <w:rPr>
          <w:b/>
          <w:bCs/>
        </w:rPr>
        <w:t>Chapter 29: Environmental Management Framework.</w:t>
      </w:r>
    </w:p>
    <w:p w14:paraId="29966964" w14:textId="7CBDF8C8" w:rsidR="001C440C" w:rsidRDefault="001C440C" w:rsidP="00986843">
      <w:pPr>
        <w:pStyle w:val="Heading2"/>
      </w:pPr>
      <w:r>
        <w:t>Consultation and engagement</w:t>
      </w:r>
    </w:p>
    <w:p w14:paraId="11C011C8" w14:textId="0DE1CE69" w:rsidR="001C440C" w:rsidRDefault="001C440C" w:rsidP="001C440C">
      <w:r w:rsidRPr="001C440C">
        <w:t xml:space="preserve">To understand the key issues of particular concern to Traditional Owners, local communities and stakeholders, a program of consultation and engagement was implemented for the Project and will continue beyond the EES phase. The program began with consultation and engagement activities in mid-2020, before the Project’s Area of Interest was announced. A Consultation Plan </w:t>
      </w:r>
      <w:r w:rsidR="00557702">
        <w:t>(AusNet, 202</w:t>
      </w:r>
      <w:r w:rsidR="00A71E29">
        <w:t>5</w:t>
      </w:r>
      <w:r w:rsidR="00271C3F">
        <w:t>a</w:t>
      </w:r>
      <w:r w:rsidR="00557702">
        <w:t xml:space="preserve">) </w:t>
      </w:r>
      <w:r w:rsidRPr="001C440C">
        <w:t>was specifically prepared for the EES phase, as required by the EES scoping requirements for the Project. The main forms of consultation and engagement have included:</w:t>
      </w:r>
    </w:p>
    <w:p w14:paraId="7A9C9BBE" w14:textId="77777777" w:rsidR="001C440C" w:rsidRDefault="001C440C" w:rsidP="007942E1">
      <w:pPr>
        <w:pStyle w:val="ListBullet"/>
        <w:spacing w:after="120"/>
      </w:pPr>
      <w:r>
        <w:t>Meetings with Councils, community groups and other stakeholders</w:t>
      </w:r>
    </w:p>
    <w:p w14:paraId="650FC993" w14:textId="77777777" w:rsidR="001C440C" w:rsidRDefault="001C440C" w:rsidP="007942E1">
      <w:pPr>
        <w:pStyle w:val="ListBullet"/>
        <w:spacing w:after="120"/>
      </w:pPr>
      <w:r>
        <w:t>Meetings with landholders and occupiers within the Project Area</w:t>
      </w:r>
    </w:p>
    <w:p w14:paraId="29B4E87E" w14:textId="77777777" w:rsidR="001C440C" w:rsidRDefault="001C440C" w:rsidP="007942E1">
      <w:pPr>
        <w:pStyle w:val="ListBullet"/>
        <w:spacing w:after="120"/>
      </w:pPr>
      <w:r>
        <w:t>Meetings and fieldwork with Registered Aboriginal Parties and Traditional Owners</w:t>
      </w:r>
    </w:p>
    <w:p w14:paraId="1C47E651" w14:textId="77777777" w:rsidR="001C440C" w:rsidRDefault="001C440C" w:rsidP="007942E1">
      <w:pPr>
        <w:pStyle w:val="ListBullet"/>
        <w:spacing w:after="120"/>
      </w:pPr>
      <w:r>
        <w:t>Community information forums, drop-in sessions, online Q&amp;A and ‘meet the team’ sessions</w:t>
      </w:r>
    </w:p>
    <w:p w14:paraId="0D5B8247" w14:textId="77777777" w:rsidR="001C440C" w:rsidRDefault="001C440C" w:rsidP="007942E1">
      <w:pPr>
        <w:pStyle w:val="ListBullet"/>
        <w:spacing w:after="120"/>
      </w:pPr>
      <w:r>
        <w:t>Meetings with the EES Technical Reference Group, made up of representatives from Councils, Registered Aboriginal Parties and relevant government agencies</w:t>
      </w:r>
    </w:p>
    <w:p w14:paraId="0AA190E6" w14:textId="77777777" w:rsidR="001C440C" w:rsidRDefault="001C440C" w:rsidP="007942E1">
      <w:pPr>
        <w:pStyle w:val="ListBullet"/>
        <w:spacing w:after="120"/>
      </w:pPr>
      <w:r>
        <w:t>Meetings with the Community Consultation Group, set up with the aim of enhancing communication both within the community and between the community and the Project</w:t>
      </w:r>
    </w:p>
    <w:p w14:paraId="73407662" w14:textId="77777777" w:rsidR="001C440C" w:rsidRDefault="001C440C" w:rsidP="007942E1">
      <w:pPr>
        <w:pStyle w:val="ListBullet"/>
        <w:spacing w:after="120"/>
      </w:pPr>
      <w:r>
        <w:t>Project awareness raising, comprising distribution of Project information to residents and businesses in the Project Area</w:t>
      </w:r>
    </w:p>
    <w:p w14:paraId="0B0A7B9A" w14:textId="77777777" w:rsidR="001C440C" w:rsidRDefault="001C440C" w:rsidP="001C440C">
      <w:pPr>
        <w:pStyle w:val="ListBullet"/>
      </w:pPr>
      <w:r>
        <w:t>The establishment of a Project website and other communication channels to share Project information, progress updates and seek input from interested parties.</w:t>
      </w:r>
    </w:p>
    <w:p w14:paraId="7B92F5DA" w14:textId="77777777" w:rsidR="001C440C" w:rsidRDefault="001C440C" w:rsidP="001C440C">
      <w:r>
        <w:t xml:space="preserve">The findings of the consultation and engagement with Traditional Owners, community and stakeholders were considered during the Project’s design development, EES risk screening and EES preparation. Community consultation outcomes provided an understanding of the concerns and preferred outcomes of landholders and occupiers, businesses and other interested parties, for consideration in the design and assessment process. </w:t>
      </w:r>
    </w:p>
    <w:p w14:paraId="4FEEAFD8" w14:textId="77777777" w:rsidR="001C440C" w:rsidRDefault="001C440C" w:rsidP="001C440C">
      <w:r>
        <w:t>Ongoing engagement with Councils and relevant government agencies has enabled two-way communication on the key issues and policy priorities of State and local government, and this has been incorporated into both the Project design and the EES technical reports. The Technical Reference Group provided advice to the Project team on key issues and concerns from their respective areas of interest.</w:t>
      </w:r>
    </w:p>
    <w:p w14:paraId="342C8251" w14:textId="4BBB006F" w:rsidR="001C440C" w:rsidRDefault="001C440C" w:rsidP="001C440C">
      <w:pPr>
        <w:rPr>
          <w:b/>
          <w:bCs/>
        </w:rPr>
      </w:pPr>
      <w:r>
        <w:t xml:space="preserve">Further information on the approach taken to consultation and engagement is provided in </w:t>
      </w:r>
      <w:r w:rsidRPr="001C440C">
        <w:rPr>
          <w:b/>
          <w:bCs/>
        </w:rPr>
        <w:t xml:space="preserve">Chapter 7: Community and stakeholder engagement </w:t>
      </w:r>
      <w:r>
        <w:t xml:space="preserve">and </w:t>
      </w:r>
      <w:r w:rsidRPr="001C440C">
        <w:rPr>
          <w:b/>
          <w:bCs/>
        </w:rPr>
        <w:t>Attachment IV: Stakeholder and community engagement consultation report.</w:t>
      </w:r>
    </w:p>
    <w:p w14:paraId="57F3DCEB" w14:textId="0C90BC83" w:rsidR="00242384" w:rsidRPr="001C440C" w:rsidRDefault="00242384" w:rsidP="001C440C">
      <w:r>
        <w:rPr>
          <w:noProof/>
        </w:rPr>
        <w:lastRenderedPageBreak/>
        <w:drawing>
          <wp:anchor distT="0" distB="0" distL="114300" distR="114300" simplePos="0" relativeHeight="251667465" behindDoc="0" locked="0" layoutInCell="1" allowOverlap="1" wp14:anchorId="279CA138" wp14:editId="7BD8A0CE">
            <wp:simplePos x="0" y="0"/>
            <wp:positionH relativeFrom="page">
              <wp:align>right</wp:align>
            </wp:positionH>
            <wp:positionV relativeFrom="paragraph">
              <wp:posOffset>-900402</wp:posOffset>
            </wp:positionV>
            <wp:extent cx="7544064" cy="10670650"/>
            <wp:effectExtent l="0" t="0" r="0" b="0"/>
            <wp:wrapNone/>
            <wp:docPr id="784413284" name="Picture 8"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13284" name="Picture 8" descr="A close-up of a letter&#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44064" cy="10670650"/>
                    </a:xfrm>
                    <a:prstGeom prst="rect">
                      <a:avLst/>
                    </a:prstGeom>
                  </pic:spPr>
                </pic:pic>
              </a:graphicData>
            </a:graphic>
            <wp14:sizeRelH relativeFrom="margin">
              <wp14:pctWidth>0</wp14:pctWidth>
            </wp14:sizeRelH>
            <wp14:sizeRelV relativeFrom="margin">
              <wp14:pctHeight>0</wp14:pctHeight>
            </wp14:sizeRelV>
          </wp:anchor>
        </w:drawing>
      </w:r>
    </w:p>
    <w:sectPr w:rsidR="00242384" w:rsidRPr="001C440C" w:rsidSect="00A03B48">
      <w:footnotePr>
        <w:numFmt w:val="chicago"/>
        <w:numRestart w:val="eachPage"/>
      </w:footnotePr>
      <w:pgSz w:w="11906" w:h="16838" w:code="9"/>
      <w:pgMar w:top="1418" w:right="1418" w:bottom="1418" w:left="1418" w:header="1134" w:footer="340"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F4A10E" w14:textId="77777777" w:rsidR="00D364AA" w:rsidRDefault="00D364AA" w:rsidP="00CC6183">
      <w:r>
        <w:separator/>
      </w:r>
    </w:p>
  </w:endnote>
  <w:endnote w:type="continuationSeparator" w:id="0">
    <w:p w14:paraId="7102F498" w14:textId="77777777" w:rsidR="00D364AA" w:rsidRDefault="00D364AA" w:rsidP="00CC6183">
      <w:r>
        <w:continuationSeparator/>
      </w:r>
    </w:p>
  </w:endnote>
  <w:endnote w:type="continuationNotice" w:id="1">
    <w:p w14:paraId="3ACB8F30" w14:textId="77777777" w:rsidR="00D364AA" w:rsidRDefault="00D364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Jacobs Chronos">
    <w:altName w:val="Calibri"/>
    <w:charset w:val="00"/>
    <w:family w:val="swiss"/>
    <w:pitch w:val="variable"/>
    <w:sig w:usb0="A00000EF" w:usb1="0000E0EB" w:usb2="00000008" w:usb3="00000000" w:csb0="00000001"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erriweather">
    <w:charset w:val="00"/>
    <w:family w:val="auto"/>
    <w:pitch w:val="variable"/>
    <w:sig w:usb0="20000207" w:usb1="00000002" w:usb2="00000000" w:usb3="00000000" w:csb0="00000197"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Bahnschrift SemiLigh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0485F" w14:textId="4B6AE4C0" w:rsidR="00B94E62" w:rsidRDefault="000E01DD">
    <w:r>
      <w:rPr>
        <w:noProof/>
      </w:rPr>
      <mc:AlternateContent>
        <mc:Choice Requires="wps">
          <w:drawing>
            <wp:anchor distT="0" distB="0" distL="0" distR="0" simplePos="0" relativeHeight="251659264" behindDoc="0" locked="0" layoutInCell="1" allowOverlap="1" wp14:anchorId="5ED66FD7" wp14:editId="265CE093">
              <wp:simplePos x="635" y="635"/>
              <wp:positionH relativeFrom="page">
                <wp:align>center</wp:align>
              </wp:positionH>
              <wp:positionV relativeFrom="page">
                <wp:align>bottom</wp:align>
              </wp:positionV>
              <wp:extent cx="295910" cy="307975"/>
              <wp:effectExtent l="0" t="0" r="8890" b="0"/>
              <wp:wrapNone/>
              <wp:docPr id="1824276858" name="Text Box 3"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6F38CB69" w14:textId="70E05D86" w:rsidR="000E01DD" w:rsidRPr="000E01DD" w:rsidRDefault="000E01DD" w:rsidP="000E01DD">
                          <w:pPr>
                            <w:spacing w:after="0"/>
                            <w:rPr>
                              <w:rFonts w:ascii="Century Gothic" w:eastAsia="Century Gothic" w:hAnsi="Century Gothic" w:cs="Century Gothic"/>
                              <w:noProof/>
                              <w:color w:val="7F7F7F"/>
                              <w:sz w:val="14"/>
                              <w:szCs w:val="14"/>
                            </w:rPr>
                          </w:pPr>
                          <w:r w:rsidRPr="000E01DD">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D66FD7" id="_x0000_t202" coordsize="21600,21600" o:spt="202" path="m,l,21600r21600,l21600,xe">
              <v:stroke joinstyle="miter"/>
              <v:path gradientshapeok="t" o:connecttype="rect"/>
            </v:shapetype>
            <v:shape id="Text Box 3" o:spid="_x0000_s1027" type="#_x0000_t202" alt="PUBLIC" style="position:absolute;margin-left:0;margin-top:0;width:23.3pt;height:24.2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" filled="f" stroked="f">
              <v:fill o:detectmouseclick="t"/>
              <v:textbox style="mso-fit-shape-to-text:t" inset="0,0,0,15pt">
                <w:txbxContent>
                  <w:p w14:paraId="6F38CB69" w14:textId="70E05D86" w:rsidR="000E01DD" w:rsidRPr="000E01DD" w:rsidRDefault="000E01DD" w:rsidP="000E01DD">
                    <w:pPr>
                      <w:spacing w:after="0"/>
                      <w:rPr>
                        <w:rFonts w:ascii="Century Gothic" w:eastAsia="Century Gothic" w:hAnsi="Century Gothic" w:cs="Century Gothic"/>
                        <w:noProof/>
                        <w:color w:val="7F7F7F"/>
                        <w:sz w:val="14"/>
                        <w:szCs w:val="14"/>
                      </w:rPr>
                    </w:pPr>
                    <w:r w:rsidRPr="000E01DD">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62BAE" w14:textId="6EF6186F" w:rsidR="000E01DD" w:rsidRDefault="000E01DD">
    <w:pPr>
      <w:pStyle w:val="Footer"/>
    </w:pPr>
    <w:r>
      <w:rPr>
        <w:noProof/>
      </w:rPr>
      <mc:AlternateContent>
        <mc:Choice Requires="wps">
          <w:drawing>
            <wp:anchor distT="0" distB="0" distL="0" distR="0" simplePos="0" relativeHeight="251660288" behindDoc="0" locked="0" layoutInCell="1" allowOverlap="1" wp14:anchorId="72144804" wp14:editId="71DE7F99">
              <wp:simplePos x="904875" y="10363200"/>
              <wp:positionH relativeFrom="page">
                <wp:align>center</wp:align>
              </wp:positionH>
              <wp:positionV relativeFrom="page">
                <wp:align>bottom</wp:align>
              </wp:positionV>
              <wp:extent cx="295910" cy="307975"/>
              <wp:effectExtent l="0" t="0" r="8890" b="0"/>
              <wp:wrapNone/>
              <wp:docPr id="998746801" name="Text Box 4"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39F2F606" w14:textId="38D525AA" w:rsidR="000E01DD" w:rsidRPr="000E01DD" w:rsidRDefault="000E01DD" w:rsidP="000E01DD">
                          <w:pPr>
                            <w:spacing w:after="0"/>
                            <w:rPr>
                              <w:rFonts w:ascii="Century Gothic" w:eastAsia="Century Gothic" w:hAnsi="Century Gothic" w:cs="Century Gothic"/>
                              <w:noProof/>
                              <w:color w:val="7F7F7F"/>
                              <w:sz w:val="14"/>
                              <w:szCs w:val="14"/>
                            </w:rPr>
                          </w:pPr>
                          <w:r w:rsidRPr="000E01DD">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144804" id="_x0000_t202" coordsize="21600,21600" o:spt="202" path="m,l,21600r21600,l21600,xe">
              <v:stroke joinstyle="miter"/>
              <v:path gradientshapeok="t" o:connecttype="rect"/>
            </v:shapetype>
            <v:shape id="Text Box 4" o:spid="_x0000_s1028" type="#_x0000_t202" alt="PUBLIC" style="position:absolute;margin-left:0;margin-top:0;width:23.3pt;height:24.2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" filled="f" stroked="f">
              <v:fill o:detectmouseclick="t"/>
              <v:textbox style="mso-fit-shape-to-text:t" inset="0,0,0,15pt">
                <w:txbxContent>
                  <w:p w14:paraId="39F2F606" w14:textId="38D525AA" w:rsidR="000E01DD" w:rsidRPr="000E01DD" w:rsidRDefault="000E01DD" w:rsidP="000E01DD">
                    <w:pPr>
                      <w:spacing w:after="0"/>
                      <w:rPr>
                        <w:rFonts w:ascii="Century Gothic" w:eastAsia="Century Gothic" w:hAnsi="Century Gothic" w:cs="Century Gothic"/>
                        <w:noProof/>
                        <w:color w:val="7F7F7F"/>
                        <w:sz w:val="14"/>
                        <w:szCs w:val="14"/>
                      </w:rPr>
                    </w:pPr>
                    <w:r w:rsidRPr="000E01DD">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7F16C" w14:textId="1DC1485B" w:rsidR="000E01DD" w:rsidRDefault="000E01DD">
    <w:pPr>
      <w:pStyle w:val="Footer"/>
    </w:pPr>
    <w:r>
      <w:rPr>
        <w:noProof/>
      </w:rPr>
      <mc:AlternateContent>
        <mc:Choice Requires="wps">
          <w:drawing>
            <wp:anchor distT="0" distB="0" distL="0" distR="0" simplePos="0" relativeHeight="251658240" behindDoc="0" locked="0" layoutInCell="1" allowOverlap="1" wp14:anchorId="1B0192D8" wp14:editId="3AA70E5F">
              <wp:simplePos x="635" y="635"/>
              <wp:positionH relativeFrom="page">
                <wp:align>center</wp:align>
              </wp:positionH>
              <wp:positionV relativeFrom="page">
                <wp:align>bottom</wp:align>
              </wp:positionV>
              <wp:extent cx="295910" cy="307975"/>
              <wp:effectExtent l="0" t="0" r="8890" b="0"/>
              <wp:wrapNone/>
              <wp:docPr id="1101946938" name="Text Box 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3CC3A33A" w14:textId="3859B89E" w:rsidR="000E01DD" w:rsidRPr="000E01DD" w:rsidRDefault="000E01DD" w:rsidP="000E01DD">
                          <w:pPr>
                            <w:spacing w:after="0"/>
                            <w:rPr>
                              <w:rFonts w:ascii="Century Gothic" w:eastAsia="Century Gothic" w:hAnsi="Century Gothic" w:cs="Century Gothic"/>
                              <w:noProof/>
                              <w:color w:val="7F7F7F"/>
                              <w:sz w:val="14"/>
                              <w:szCs w:val="14"/>
                            </w:rPr>
                          </w:pPr>
                          <w:r w:rsidRPr="000E01DD">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0192D8" id="_x0000_t202" coordsize="21600,21600" o:spt="202" path="m,l,21600r21600,l21600,xe">
              <v:stroke joinstyle="miter"/>
              <v:path gradientshapeok="t" o:connecttype="rect"/>
            </v:shapetype>
            <v:shape id="Text Box 2" o:spid="_x0000_s1029" type="#_x0000_t202" alt="PUBLIC" style="position:absolute;margin-left:0;margin-top:0;width:23.3pt;height:24.2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lG3DQIAABwEAAAOAAAAZHJzL2Uyb0RvYy54bWysU8Fu2zAMvQ/YPwi6L3YyZF2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NW6UbcNAgAAHAQA&#10;AA4AAAAAAAAAAAAAAAAALgIAAGRycy9lMm9Eb2MueG1sUEsBAi0AFAAGAAgAAAAhAJT+RUbaAAAA&#10;AwEAAA8AAAAAAAAAAAAAAAAAZwQAAGRycy9kb3ducmV2LnhtbFBLBQYAAAAABAAEAPMAAABuBQAA&#10;AAA=&#10;" filled="f" stroked="f">
              <v:fill o:detectmouseclick="t"/>
              <v:textbox style="mso-fit-shape-to-text:t" inset="0,0,0,15pt">
                <w:txbxContent>
                  <w:p w14:paraId="3CC3A33A" w14:textId="3859B89E" w:rsidR="000E01DD" w:rsidRPr="000E01DD" w:rsidRDefault="000E01DD" w:rsidP="000E01DD">
                    <w:pPr>
                      <w:spacing w:after="0"/>
                      <w:rPr>
                        <w:rFonts w:ascii="Century Gothic" w:eastAsia="Century Gothic" w:hAnsi="Century Gothic" w:cs="Century Gothic"/>
                        <w:noProof/>
                        <w:color w:val="7F7F7F"/>
                        <w:sz w:val="14"/>
                        <w:szCs w:val="14"/>
                      </w:rPr>
                    </w:pPr>
                    <w:r w:rsidRPr="000E01DD">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0BF13" w14:textId="7BFF93EA" w:rsidR="00A03B48" w:rsidRDefault="000E01DD" w:rsidP="00A03B48">
    <w:pPr>
      <w:pStyle w:val="FooterLeft"/>
      <w:framePr w:wrap="around"/>
    </w:pPr>
    <w:r>
      <w:rPr>
        <w:noProof/>
      </w:rPr>
      <mc:AlternateContent>
        <mc:Choice Requires="wps">
          <w:drawing>
            <wp:anchor distT="0" distB="0" distL="0" distR="0" simplePos="0" relativeHeight="251662336" behindDoc="0" locked="0" layoutInCell="1" allowOverlap="1" wp14:anchorId="3D652F99" wp14:editId="42BCD43E">
              <wp:simplePos x="901065" y="10242550"/>
              <wp:positionH relativeFrom="page">
                <wp:align>center</wp:align>
              </wp:positionH>
              <wp:positionV relativeFrom="page">
                <wp:align>bottom</wp:align>
              </wp:positionV>
              <wp:extent cx="295910" cy="307975"/>
              <wp:effectExtent l="0" t="0" r="8890" b="0"/>
              <wp:wrapNone/>
              <wp:docPr id="716588820" name="Text Box 6"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301BFE65" w14:textId="3CFB3378" w:rsidR="000E01DD" w:rsidRPr="000E01DD" w:rsidRDefault="000E01DD" w:rsidP="000E01DD">
                          <w:pPr>
                            <w:spacing w:after="0"/>
                            <w:rPr>
                              <w:rFonts w:ascii="Century Gothic" w:eastAsia="Century Gothic" w:hAnsi="Century Gothic" w:cs="Century Gothic"/>
                              <w:noProof/>
                              <w:color w:val="7F7F7F"/>
                              <w:sz w:val="14"/>
                              <w:szCs w:val="14"/>
                            </w:rPr>
                          </w:pPr>
                          <w:r w:rsidRPr="000E01DD">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652F99" id="_x0000_t202" coordsize="21600,21600" o:spt="202" path="m,l,21600r21600,l21600,xe">
              <v:stroke joinstyle="miter"/>
              <v:path gradientshapeok="t" o:connecttype="rect"/>
            </v:shapetype>
            <v:shape id="Text Box 6" o:spid="_x0000_s1030" type="#_x0000_t202" alt="PUBLIC" style="position:absolute;margin-left:0;margin-top:0;width:23.3pt;height:24.2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eOKDQIAABwEAAAOAAAAZHJzL2Uyb0RvYy54bWysU8Fu2zAMvQ/YPwi6L3YyZF2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LgF44oNAgAAHAQA&#10;AA4AAAAAAAAAAAAAAAAALgIAAGRycy9lMm9Eb2MueG1sUEsBAi0AFAAGAAgAAAAhAJT+RUbaAAAA&#10;AwEAAA8AAAAAAAAAAAAAAAAAZwQAAGRycy9kb3ducmV2LnhtbFBLBQYAAAAABAAEAPMAAABuBQAA&#10;AAA=&#10;" filled="f" stroked="f">
              <v:fill o:detectmouseclick="t"/>
              <v:textbox style="mso-fit-shape-to-text:t" inset="0,0,0,15pt">
                <w:txbxContent>
                  <w:p w14:paraId="301BFE65" w14:textId="3CFB3378" w:rsidR="000E01DD" w:rsidRPr="000E01DD" w:rsidRDefault="000E01DD" w:rsidP="000E01DD">
                    <w:pPr>
                      <w:spacing w:after="0"/>
                      <w:rPr>
                        <w:rFonts w:ascii="Century Gothic" w:eastAsia="Century Gothic" w:hAnsi="Century Gothic" w:cs="Century Gothic"/>
                        <w:noProof/>
                        <w:color w:val="7F7F7F"/>
                        <w:sz w:val="14"/>
                        <w:szCs w:val="14"/>
                      </w:rPr>
                    </w:pPr>
                    <w:r w:rsidRPr="000E01DD">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A03B48" w:rsidRPr="00BC4E10">
      <w:fldChar w:fldCharType="begin"/>
    </w:r>
    <w:r w:rsidR="00A03B48" w:rsidRPr="00BC4E10">
      <w:instrText xml:space="preserve"> PAGE   \* MERGEFORMAT </w:instrText>
    </w:r>
    <w:r w:rsidR="00A03B48" w:rsidRPr="00BC4E10">
      <w:fldChar w:fldCharType="separate"/>
    </w:r>
    <w:r w:rsidR="00A03B48">
      <w:t>1-2</w:t>
    </w:r>
    <w:r w:rsidR="00A03B48" w:rsidRPr="00BC4E10">
      <w:fldChar w:fldCharType="end"/>
    </w:r>
    <w:r w:rsidR="00A03B48">
      <w:t xml:space="preserve"> | </w:t>
    </w:r>
    <w:r w:rsidR="00A03B48">
      <w:rPr>
        <w:noProof/>
      </w:rPr>
      <w:fldChar w:fldCharType="begin"/>
    </w:r>
    <w:r w:rsidR="00A03B48">
      <w:rPr>
        <w:noProof/>
      </w:rPr>
      <w:instrText xml:space="preserve"> STYLEREF  "Heading 1"  \* MERGEFORMAT </w:instrText>
    </w:r>
    <w:r w:rsidR="00A03B48">
      <w:rPr>
        <w:noProof/>
      </w:rPr>
      <w:fldChar w:fldCharType="separate"/>
    </w:r>
    <w:r>
      <w:rPr>
        <w:noProof/>
      </w:rPr>
      <w:t>EES assessment framework and approach</w:t>
    </w:r>
    <w:r w:rsidR="00A03B48">
      <w:rPr>
        <w:noProof/>
      </w:rPr>
      <w:fldChar w:fldCharType="end"/>
    </w:r>
    <w:r w:rsidR="00A03B48">
      <w:rPr>
        <w:noProof/>
      </w:rPr>
      <w:t xml:space="preserve"> </w:t>
    </w:r>
  </w:p>
  <w:p w14:paraId="454F0C4D" w14:textId="77777777" w:rsidR="00A03B48" w:rsidRDefault="00A03B4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3A52E" w14:textId="55AA284B" w:rsidR="007942E1" w:rsidRPr="00BC4E10" w:rsidRDefault="000E01DD" w:rsidP="00E276CC">
    <w:pPr>
      <w:pStyle w:val="Footerright"/>
      <w:framePr w:wrap="around"/>
    </w:pPr>
    <w:r>
      <w:rPr>
        <w:noProof/>
      </w:rPr>
      <mc:AlternateContent>
        <mc:Choice Requires="wps">
          <w:drawing>
            <wp:anchor distT="0" distB="0" distL="0" distR="0" simplePos="0" relativeHeight="251663360" behindDoc="0" locked="0" layoutInCell="1" allowOverlap="1" wp14:anchorId="7A96B030" wp14:editId="1300FCB2">
              <wp:simplePos x="3781425" y="10239375"/>
              <wp:positionH relativeFrom="page">
                <wp:align>center</wp:align>
              </wp:positionH>
              <wp:positionV relativeFrom="page">
                <wp:align>bottom</wp:align>
              </wp:positionV>
              <wp:extent cx="295910" cy="307975"/>
              <wp:effectExtent l="0" t="0" r="8890" b="0"/>
              <wp:wrapNone/>
              <wp:docPr id="1525411835" name="Text Box 7"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45A6BBF4" w14:textId="288550DD" w:rsidR="000E01DD" w:rsidRPr="000E01DD" w:rsidRDefault="000E01DD" w:rsidP="000E01DD">
                          <w:pPr>
                            <w:spacing w:after="0"/>
                            <w:rPr>
                              <w:rFonts w:ascii="Century Gothic" w:eastAsia="Century Gothic" w:hAnsi="Century Gothic" w:cs="Century Gothic"/>
                              <w:noProof/>
                              <w:color w:val="7F7F7F"/>
                              <w:sz w:val="14"/>
                              <w:szCs w:val="14"/>
                            </w:rPr>
                          </w:pPr>
                          <w:r w:rsidRPr="000E01DD">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96B030" id="_x0000_t202" coordsize="21600,21600" o:spt="202" path="m,l,21600r21600,l21600,xe">
              <v:stroke joinstyle="miter"/>
              <v:path gradientshapeok="t" o:connecttype="rect"/>
            </v:shapetype>
            <v:shape id="Text Box 7" o:spid="_x0000_s1031" type="#_x0000_t202" alt="PUBLIC" style="position:absolute;left:0;text-align:left;margin-left:0;margin-top:0;width:23.3pt;height:24.2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C7Of46DgIAABwE&#10;AAAOAAAAAAAAAAAAAAAAAC4CAABkcnMvZTJvRG9jLnhtbFBLAQItABQABgAIAAAAIQCU/kVG2gAA&#10;AAMBAAAPAAAAAAAAAAAAAAAAAGgEAABkcnMvZG93bnJldi54bWxQSwUGAAAAAAQABADzAAAAbwUA&#10;AAAA&#10;" filled="f" stroked="f">
              <v:fill o:detectmouseclick="t"/>
              <v:textbox style="mso-fit-shape-to-text:t" inset="0,0,0,15pt">
                <w:txbxContent>
                  <w:p w14:paraId="45A6BBF4" w14:textId="288550DD" w:rsidR="000E01DD" w:rsidRPr="000E01DD" w:rsidRDefault="000E01DD" w:rsidP="000E01DD">
                    <w:pPr>
                      <w:spacing w:after="0"/>
                      <w:rPr>
                        <w:rFonts w:ascii="Century Gothic" w:eastAsia="Century Gothic" w:hAnsi="Century Gothic" w:cs="Century Gothic"/>
                        <w:noProof/>
                        <w:color w:val="7F7F7F"/>
                        <w:sz w:val="14"/>
                        <w:szCs w:val="14"/>
                      </w:rPr>
                    </w:pPr>
                    <w:r w:rsidRPr="000E01DD">
                      <w:rPr>
                        <w:rFonts w:ascii="Century Gothic" w:eastAsia="Century Gothic" w:hAnsi="Century Gothic" w:cs="Century Gothic"/>
                        <w:noProof/>
                        <w:color w:val="7F7F7F"/>
                        <w:sz w:val="14"/>
                        <w:szCs w:val="14"/>
                      </w:rPr>
                      <w:t>PUBLIC</w:t>
                    </w:r>
                  </w:p>
                </w:txbxContent>
              </v:textbox>
              <w10:wrap anchorx="page" anchory="page"/>
            </v:shape>
          </w:pict>
        </mc:Fallback>
      </mc:AlternateContent>
    </w:r>
    <w:fldSimple w:instr="STYLEREF  &quot;Heading 1&quot;  \* MERGEFORMAT">
      <w:r>
        <w:rPr>
          <w:noProof/>
        </w:rPr>
        <w:t>EES assessment framework and approach</w:t>
      </w:r>
    </w:fldSimple>
    <w:r w:rsidR="007942E1">
      <w:t xml:space="preserve"> </w:t>
    </w:r>
    <w:r w:rsidR="007942E1" w:rsidRPr="00BC4E10">
      <w:t xml:space="preserve">| </w:t>
    </w:r>
    <w:r w:rsidR="007942E1" w:rsidRPr="00BC4E10">
      <w:fldChar w:fldCharType="begin"/>
    </w:r>
    <w:r w:rsidR="007942E1" w:rsidRPr="00BC4E10">
      <w:instrText xml:space="preserve"> PAGE   \* MERGEFORMAT </w:instrText>
    </w:r>
    <w:r w:rsidR="007942E1" w:rsidRPr="00BC4E10">
      <w:fldChar w:fldCharType="separate"/>
    </w:r>
    <w:r w:rsidR="007942E1">
      <w:t>17</w:t>
    </w:r>
    <w:r w:rsidR="007942E1" w:rsidRPr="00BC4E10">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014AF" w14:textId="2670A210" w:rsidR="000E01DD" w:rsidRDefault="000E01DD">
    <w:pPr>
      <w:pStyle w:val="Footer"/>
    </w:pPr>
    <w:r>
      <w:rPr>
        <w:noProof/>
      </w:rPr>
      <mc:AlternateContent>
        <mc:Choice Requires="wps">
          <w:drawing>
            <wp:anchor distT="0" distB="0" distL="0" distR="0" simplePos="0" relativeHeight="251661312" behindDoc="0" locked="0" layoutInCell="1" allowOverlap="1" wp14:anchorId="4A060D10" wp14:editId="22E181FF">
              <wp:simplePos x="635" y="635"/>
              <wp:positionH relativeFrom="page">
                <wp:align>center</wp:align>
              </wp:positionH>
              <wp:positionV relativeFrom="page">
                <wp:align>bottom</wp:align>
              </wp:positionV>
              <wp:extent cx="295910" cy="307975"/>
              <wp:effectExtent l="0" t="0" r="8890" b="0"/>
              <wp:wrapNone/>
              <wp:docPr id="161771298" name="Text Box 5"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5AE691CC" w14:textId="5A741B0C" w:rsidR="000E01DD" w:rsidRPr="000E01DD" w:rsidRDefault="000E01DD" w:rsidP="000E01DD">
                          <w:pPr>
                            <w:spacing w:after="0"/>
                            <w:rPr>
                              <w:rFonts w:ascii="Century Gothic" w:eastAsia="Century Gothic" w:hAnsi="Century Gothic" w:cs="Century Gothic"/>
                              <w:noProof/>
                              <w:color w:val="7F7F7F"/>
                              <w:sz w:val="14"/>
                              <w:szCs w:val="14"/>
                            </w:rPr>
                          </w:pPr>
                          <w:r w:rsidRPr="000E01DD">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060D10" id="_x0000_t202" coordsize="21600,21600" o:spt="202" path="m,l,21600r21600,l21600,xe">
              <v:stroke joinstyle="miter"/>
              <v:path gradientshapeok="t" o:connecttype="rect"/>
            </v:shapetype>
            <v:shape id="Text Box 5" o:spid="_x0000_s1032" type="#_x0000_t202" alt="PUBLIC" style="position:absolute;margin-left:0;margin-top:0;width:23.3pt;height:24.2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" filled="f" stroked="f">
              <v:fill o:detectmouseclick="t"/>
              <v:textbox style="mso-fit-shape-to-text:t" inset="0,0,0,15pt">
                <w:txbxContent>
                  <w:p w14:paraId="5AE691CC" w14:textId="5A741B0C" w:rsidR="000E01DD" w:rsidRPr="000E01DD" w:rsidRDefault="000E01DD" w:rsidP="000E01DD">
                    <w:pPr>
                      <w:spacing w:after="0"/>
                      <w:rPr>
                        <w:rFonts w:ascii="Century Gothic" w:eastAsia="Century Gothic" w:hAnsi="Century Gothic" w:cs="Century Gothic"/>
                        <w:noProof/>
                        <w:color w:val="7F7F7F"/>
                        <w:sz w:val="14"/>
                        <w:szCs w:val="14"/>
                      </w:rPr>
                    </w:pPr>
                    <w:r w:rsidRPr="000E01DD">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2AE7B9" w14:textId="77777777" w:rsidR="00D364AA" w:rsidRDefault="00D364AA" w:rsidP="00CC6183">
      <w:r>
        <w:separator/>
      </w:r>
    </w:p>
  </w:footnote>
  <w:footnote w:type="continuationSeparator" w:id="0">
    <w:p w14:paraId="3179DF52" w14:textId="77777777" w:rsidR="00D364AA" w:rsidRDefault="00D364AA" w:rsidP="00CC6183">
      <w:r>
        <w:continuationSeparator/>
      </w:r>
    </w:p>
  </w:footnote>
  <w:footnote w:type="continuationNotice" w:id="1">
    <w:p w14:paraId="5FD1D6EB" w14:textId="77777777" w:rsidR="00D364AA" w:rsidRDefault="00D364A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0B788E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5318395" o:spid="_x0000_i1025" type="#_x0000_t75" style="width:311.25pt;height:311.25pt;visibility:visible;mso-wrap-style:square">
            <v:imagedata r:id="rId1" o:title=""/>
          </v:shape>
        </w:pict>
      </mc:Choice>
      <mc:Fallback>
        <w:drawing>
          <wp:inline distT="0" distB="0" distL="0" distR="0" wp14:anchorId="57233B98" wp14:editId="7DB21347">
            <wp:extent cx="3952875" cy="3952875"/>
            <wp:effectExtent l="0" t="0" r="0" b="0"/>
            <wp:docPr id="905318395" name="Picture 905318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52875" cy="3952875"/>
                    </a:xfrm>
                    <a:prstGeom prst="rect">
                      <a:avLst/>
                    </a:prstGeom>
                    <a:noFill/>
                    <a:ln>
                      <a:noFill/>
                    </a:ln>
                  </pic:spPr>
                </pic:pic>
              </a:graphicData>
            </a:graphic>
          </wp:inline>
        </w:drawing>
      </mc:Fallback>
    </mc:AlternateContent>
  </w:numPicBullet>
  <w:abstractNum w:abstractNumId="0" w15:restartNumberingAfterBreak="0">
    <w:nsid w:val="01246CAE"/>
    <w:multiLevelType w:val="multilevel"/>
    <w:tmpl w:val="F45E78A6"/>
    <w:lvl w:ilvl="0">
      <w:start w:val="1"/>
      <w:numFmt w:val="bullet"/>
      <w:pStyle w:val="Call-outboxHeadingwithicon"/>
      <w:lvlText w:val=""/>
      <w:lvlPicBulletId w:val="0"/>
      <w:lvlJc w:val="left"/>
      <w:pPr>
        <w:tabs>
          <w:tab w:val="num" w:pos="3402"/>
        </w:tabs>
        <w:ind w:left="113" w:firstLine="0"/>
      </w:pPr>
      <w:rPr>
        <w:rFonts w:ascii="Symbol" w:hAnsi="Symbol" w:hint="default"/>
        <w:color w:val="auto"/>
        <w:sz w:val="8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1BC3765"/>
    <w:multiLevelType w:val="hybridMultilevel"/>
    <w:tmpl w:val="C9C2CDFC"/>
    <w:lvl w:ilvl="0" w:tplc="B3C66344">
      <w:start w:val="1"/>
      <w:numFmt w:val="lowerLetter"/>
      <w:pStyle w:val="Tablenumbers2"/>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 w15:restartNumberingAfterBreak="0">
    <w:nsid w:val="023555D1"/>
    <w:multiLevelType w:val="multilevel"/>
    <w:tmpl w:val="BBE4AE8C"/>
    <w:lvl w:ilvl="0">
      <w:start w:val="4"/>
      <w:numFmt w:val="decimal"/>
      <w:pStyle w:val="Heading1"/>
      <w:lvlText w:val="%1"/>
      <w:lvlJc w:val="left"/>
      <w:pPr>
        <w:tabs>
          <w:tab w:val="num" w:pos="360"/>
        </w:tabs>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lvlRestart w:val="0"/>
      <w:isLgl/>
      <w:lvlText w:val="Figure %1-%4:"/>
      <w:lvlJc w:val="left"/>
      <w:pPr>
        <w:ind w:left="1134" w:hanging="1134"/>
      </w:pPr>
      <w:rPr>
        <w:rFonts w:hint="default"/>
        <w:color w:val="2C4BA0" w:themeColor="accent1"/>
      </w:rPr>
    </w:lvl>
    <w:lvl w:ilvl="4">
      <w:start w:val="1"/>
      <w:numFmt w:val="decimal"/>
      <w:lvlRestart w:val="0"/>
      <w:isLgl/>
      <w:lvlText w:val="Table %1-%5:"/>
      <w:lvlJc w:val="left"/>
      <w:pPr>
        <w:ind w:left="4111" w:hanging="1134"/>
      </w:pPr>
      <w:rPr>
        <w:rFonts w:hint="default"/>
        <w:color w:val="2C4BA0" w:themeColor="accent1"/>
      </w:rPr>
    </w:lvl>
    <w:lvl w:ilvl="5">
      <w:start w:val="1"/>
      <w:numFmt w:val="decimal"/>
      <w:pStyle w:val="Heading4"/>
      <w:lvlText w:val="%1.%2.%3.%6."/>
      <w:lvlJc w:val="left"/>
      <w:pPr>
        <w:ind w:left="851" w:hanging="851"/>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4C95399"/>
    <w:multiLevelType w:val="multilevel"/>
    <w:tmpl w:val="EEE8BB58"/>
    <w:styleLink w:val="JacobsBulletList1"/>
    <w:lvl w:ilvl="0">
      <w:start w:val="1"/>
      <w:numFmt w:val="bullet"/>
      <w:pStyle w:val="Para0bullet"/>
      <w:lvlText w:val="§"/>
      <w:lvlJc w:val="left"/>
      <w:pPr>
        <w:ind w:left="425" w:hanging="425"/>
      </w:pPr>
      <w:rPr>
        <w:rFonts w:ascii="Wingdings" w:hAnsi="Wingdings" w:hint="default"/>
        <w:color w:val="auto"/>
        <w:sz w:val="18"/>
      </w:rPr>
    </w:lvl>
    <w:lvl w:ilvl="1">
      <w:start w:val="1"/>
      <w:numFmt w:val="bullet"/>
      <w:pStyle w:val="Para1narrowarrow"/>
      <w:lvlText w:val="-"/>
      <w:lvlJc w:val="left"/>
      <w:pPr>
        <w:ind w:left="851" w:hanging="426"/>
      </w:pPr>
      <w:rPr>
        <w:rFonts w:ascii="Jacobs Chronos" w:hAnsi="Jacobs Chronos" w:cs="Jacobs Chronos"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4" w15:restartNumberingAfterBreak="0">
    <w:nsid w:val="09D843D4"/>
    <w:multiLevelType w:val="hybridMultilevel"/>
    <w:tmpl w:val="AAEE1510"/>
    <w:lvl w:ilvl="0" w:tplc="A03A7BE2">
      <w:start w:val="1"/>
      <w:numFmt w:val="lowerRoman"/>
      <w:pStyle w:val="Tablenumbers3"/>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5" w15:restartNumberingAfterBreak="0">
    <w:nsid w:val="0AC2735F"/>
    <w:multiLevelType w:val="multilevel"/>
    <w:tmpl w:val="A176DBD2"/>
    <w:styleLink w:val="ListHeadings"/>
    <w:lvl w:ilvl="0">
      <w:start w:val="1"/>
      <w:numFmt w:val="decimal"/>
      <w:lvlText w:val="%1."/>
      <w:lvlJc w:val="left"/>
      <w:pPr>
        <w:tabs>
          <w:tab w:val="num" w:pos="360"/>
        </w:tabs>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Restart w:val="0"/>
      <w:isLgl/>
      <w:lvlText w:val="Figure %1-%4:"/>
      <w:lvlJc w:val="left"/>
      <w:pPr>
        <w:ind w:left="1134" w:hanging="1134"/>
      </w:pPr>
      <w:rPr>
        <w:rFonts w:hint="default"/>
        <w:color w:val="2C4BA0" w:themeColor="accent1"/>
      </w:rPr>
    </w:lvl>
    <w:lvl w:ilvl="4">
      <w:start w:val="1"/>
      <w:numFmt w:val="decimal"/>
      <w:lvlRestart w:val="0"/>
      <w:isLgl/>
      <w:lvlText w:val="Table %1-%5:"/>
      <w:lvlJc w:val="left"/>
      <w:pPr>
        <w:ind w:left="4111" w:hanging="1134"/>
      </w:pPr>
      <w:rPr>
        <w:rFonts w:hint="default"/>
        <w:color w:val="2C4BA0" w:themeColor="accent1"/>
      </w:rPr>
    </w:lvl>
    <w:lvl w:ilvl="5">
      <w:start w:val="1"/>
      <w:numFmt w:val="decimal"/>
      <w:lvlText w:val="%1.%2.%3.%6."/>
      <w:lvlJc w:val="left"/>
      <w:pPr>
        <w:ind w:left="851" w:hanging="851"/>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F6F37EA"/>
    <w:multiLevelType w:val="multilevel"/>
    <w:tmpl w:val="AD006BE8"/>
    <w:styleLink w:val="Numbering"/>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134" w:hanging="1134"/>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7"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0B200BD"/>
    <w:multiLevelType w:val="multilevel"/>
    <w:tmpl w:val="4BAED780"/>
    <w:lvl w:ilvl="0">
      <w:start w:val="9"/>
      <w:numFmt w:val="decimal"/>
      <w:lvlText w:val="%1."/>
      <w:lvlJc w:val="left"/>
      <w:pPr>
        <w:tabs>
          <w:tab w:val="num" w:pos="360"/>
        </w:tabs>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Restart w:val="0"/>
      <w:isLgl/>
      <w:lvlText w:val="Figure %1-%4:"/>
      <w:lvlJc w:val="left"/>
      <w:pPr>
        <w:ind w:left="1134" w:hanging="1134"/>
      </w:pPr>
      <w:rPr>
        <w:rFonts w:hint="default"/>
        <w:color w:val="2C4BA0" w:themeColor="accent1"/>
      </w:rPr>
    </w:lvl>
    <w:lvl w:ilvl="4">
      <w:start w:val="1"/>
      <w:numFmt w:val="decimal"/>
      <w:lvlRestart w:val="0"/>
      <w:isLgl/>
      <w:lvlText w:val="Table %1-%5:"/>
      <w:lvlJc w:val="left"/>
      <w:pPr>
        <w:ind w:left="4111" w:hanging="1134"/>
      </w:pPr>
      <w:rPr>
        <w:rFonts w:hint="default"/>
        <w:color w:val="2C4BA0" w:themeColor="accent1"/>
      </w:rPr>
    </w:lvl>
    <w:lvl w:ilvl="5">
      <w:start w:val="1"/>
      <w:numFmt w:val="decimal"/>
      <w:lvlText w:val="%1.%2.%3.%6."/>
      <w:lvlJc w:val="left"/>
      <w:pPr>
        <w:ind w:left="851" w:hanging="851"/>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2D74462"/>
    <w:multiLevelType w:val="hybridMultilevel"/>
    <w:tmpl w:val="7ABCE836"/>
    <w:lvl w:ilvl="0" w:tplc="64B2583C">
      <w:start w:val="4"/>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D177CE4"/>
    <w:multiLevelType w:val="multilevel"/>
    <w:tmpl w:val="A966290E"/>
    <w:lvl w:ilvl="0">
      <w:start w:val="1"/>
      <w:numFmt w:val="decimal"/>
      <w:pStyle w:val="TableNumbers"/>
      <w:lvlText w:val="%1."/>
      <w:lvlJc w:val="left"/>
      <w:pPr>
        <w:ind w:left="284" w:hanging="284"/>
      </w:pPr>
      <w:rPr>
        <w:rFonts w:hint="default"/>
      </w:rPr>
    </w:lvl>
    <w:lvl w:ilvl="1">
      <w:start w:val="1"/>
      <w:numFmt w:val="bullet"/>
      <w:pStyle w:val="TableBullet"/>
      <w:lvlText w:val="•"/>
      <w:lvlJc w:val="left"/>
      <w:pPr>
        <w:ind w:left="284" w:hanging="284"/>
      </w:pPr>
      <w:rPr>
        <w:rFonts w:ascii="Calibri" w:hAnsi="Calibri" w:hint="default"/>
        <w:color w:val="2C4BA0" w:themeColor="accent1"/>
      </w:rPr>
    </w:lvl>
    <w:lvl w:ilvl="2">
      <w:start w:val="1"/>
      <w:numFmt w:val="bullet"/>
      <w:pStyle w:val="TableBullet2"/>
      <w:lvlText w:val="-"/>
      <w:lvlJc w:val="left"/>
      <w:pPr>
        <w:ind w:left="567" w:hanging="283"/>
      </w:pPr>
      <w:rPr>
        <w:rFonts w:ascii="Merriweather" w:hAnsi="Merriweather"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54E39F1"/>
    <w:multiLevelType w:val="multilevel"/>
    <w:tmpl w:val="30C2CC96"/>
    <w:styleLink w:val="TableNumbersBullets"/>
    <w:lvl w:ilvl="0">
      <w:start w:val="1"/>
      <w:numFmt w:val="decimal"/>
      <w:lvlText w:val="%1."/>
      <w:lvlJc w:val="left"/>
      <w:pPr>
        <w:ind w:left="284" w:hanging="284"/>
      </w:pPr>
      <w:rPr>
        <w:rFonts w:hint="default"/>
      </w:rPr>
    </w:lvl>
    <w:lvl w:ilvl="1">
      <w:start w:val="1"/>
      <w:numFmt w:val="bullet"/>
      <w:lvlText w:val="•"/>
      <w:lvlJc w:val="left"/>
      <w:pPr>
        <w:ind w:left="284" w:hanging="284"/>
      </w:pPr>
      <w:rPr>
        <w:rFonts w:ascii="Calibri" w:hAnsi="Calibri" w:hint="default"/>
        <w:color w:val="2C4BA0" w:themeColor="accent1"/>
      </w:rPr>
    </w:lvl>
    <w:lvl w:ilvl="2">
      <w:start w:val="1"/>
      <w:numFmt w:val="bullet"/>
      <w:lvlText w:val="-"/>
      <w:lvlJc w:val="left"/>
      <w:pPr>
        <w:ind w:left="567" w:hanging="283"/>
      </w:pPr>
      <w:rPr>
        <w:rFonts w:ascii="Merriweather" w:hAnsi="Merriweather"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AD53A78"/>
    <w:multiLevelType w:val="hybridMultilevel"/>
    <w:tmpl w:val="5874E09A"/>
    <w:lvl w:ilvl="0" w:tplc="2C88A3FA">
      <w:start w:val="1"/>
      <w:numFmt w:val="decimal"/>
      <w:pStyle w:val="ContentBulletsNumber"/>
      <w:lvlText w:val="%1."/>
      <w:lvlJc w:val="left"/>
      <w:pPr>
        <w:ind w:left="1418" w:hanging="851"/>
      </w:pPr>
      <w:rPr>
        <w:rFonts w:ascii="Jacobs Chronos" w:hAnsi="Jacobs Chronos" w:cs="Jacobs Chronos" w:hint="default"/>
        <w:b w:val="0"/>
        <w:bCs w:val="0"/>
        <w:i w:val="0"/>
        <w:iCs w:val="0"/>
        <w:color w:val="auto"/>
        <w:sz w:val="20"/>
        <w:szCs w:val="20"/>
      </w:rPr>
    </w:lvl>
    <w:lvl w:ilvl="1" w:tplc="BC964152" w:tentative="1">
      <w:start w:val="1"/>
      <w:numFmt w:val="lowerLetter"/>
      <w:lvlText w:val="%2."/>
      <w:lvlJc w:val="left"/>
      <w:pPr>
        <w:ind w:left="1440" w:hanging="360"/>
      </w:pPr>
    </w:lvl>
    <w:lvl w:ilvl="2" w:tplc="4A923C9A" w:tentative="1">
      <w:start w:val="1"/>
      <w:numFmt w:val="lowerRoman"/>
      <w:lvlText w:val="%3."/>
      <w:lvlJc w:val="right"/>
      <w:pPr>
        <w:ind w:left="2160" w:hanging="180"/>
      </w:pPr>
    </w:lvl>
    <w:lvl w:ilvl="3" w:tplc="7226ADAE" w:tentative="1">
      <w:start w:val="1"/>
      <w:numFmt w:val="decimal"/>
      <w:lvlText w:val="%4."/>
      <w:lvlJc w:val="left"/>
      <w:pPr>
        <w:ind w:left="2880" w:hanging="360"/>
      </w:pPr>
    </w:lvl>
    <w:lvl w:ilvl="4" w:tplc="986AA23C" w:tentative="1">
      <w:start w:val="1"/>
      <w:numFmt w:val="lowerLetter"/>
      <w:lvlText w:val="%5."/>
      <w:lvlJc w:val="left"/>
      <w:pPr>
        <w:ind w:left="3600" w:hanging="360"/>
      </w:pPr>
    </w:lvl>
    <w:lvl w:ilvl="5" w:tplc="79B6C6A2" w:tentative="1">
      <w:start w:val="1"/>
      <w:numFmt w:val="lowerRoman"/>
      <w:lvlText w:val="%6."/>
      <w:lvlJc w:val="right"/>
      <w:pPr>
        <w:ind w:left="4320" w:hanging="180"/>
      </w:pPr>
    </w:lvl>
    <w:lvl w:ilvl="6" w:tplc="C778D110" w:tentative="1">
      <w:start w:val="1"/>
      <w:numFmt w:val="decimal"/>
      <w:lvlText w:val="%7."/>
      <w:lvlJc w:val="left"/>
      <w:pPr>
        <w:ind w:left="5040" w:hanging="360"/>
      </w:pPr>
    </w:lvl>
    <w:lvl w:ilvl="7" w:tplc="FA52D17C" w:tentative="1">
      <w:start w:val="1"/>
      <w:numFmt w:val="lowerLetter"/>
      <w:lvlText w:val="%8."/>
      <w:lvlJc w:val="left"/>
      <w:pPr>
        <w:ind w:left="5760" w:hanging="360"/>
      </w:pPr>
    </w:lvl>
    <w:lvl w:ilvl="8" w:tplc="009CB5A2" w:tentative="1">
      <w:start w:val="1"/>
      <w:numFmt w:val="lowerRoman"/>
      <w:lvlText w:val="%9."/>
      <w:lvlJc w:val="right"/>
      <w:pPr>
        <w:ind w:left="6480" w:hanging="180"/>
      </w:pPr>
    </w:lvl>
  </w:abstractNum>
  <w:abstractNum w:abstractNumId="13" w15:restartNumberingAfterBreak="0">
    <w:nsid w:val="4F791D93"/>
    <w:multiLevelType w:val="multilevel"/>
    <w:tmpl w:val="0730321A"/>
    <w:lvl w:ilvl="0">
      <w:start w:val="9"/>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538444B0"/>
    <w:multiLevelType w:val="hybridMultilevel"/>
    <w:tmpl w:val="B24E0A46"/>
    <w:lvl w:ilvl="0" w:tplc="5AF85820">
      <w:start w:val="1"/>
      <w:numFmt w:val="bullet"/>
      <w:lvlText w:val=""/>
      <w:lvlJc w:val="left"/>
      <w:pPr>
        <w:ind w:left="1287" w:hanging="360"/>
      </w:pPr>
      <w:rPr>
        <w:rFonts w:ascii="Symbol" w:hAnsi="Symbol" w:hint="default"/>
      </w:rPr>
    </w:lvl>
    <w:lvl w:ilvl="1" w:tplc="3844D77E" w:tentative="1">
      <w:start w:val="1"/>
      <w:numFmt w:val="bullet"/>
      <w:lvlText w:val="o"/>
      <w:lvlJc w:val="left"/>
      <w:pPr>
        <w:ind w:left="2007" w:hanging="360"/>
      </w:pPr>
      <w:rPr>
        <w:rFonts w:ascii="Courier New" w:hAnsi="Courier New" w:cs="Courier New" w:hint="default"/>
      </w:rPr>
    </w:lvl>
    <w:lvl w:ilvl="2" w:tplc="ACD85B48" w:tentative="1">
      <w:start w:val="1"/>
      <w:numFmt w:val="bullet"/>
      <w:lvlText w:val=""/>
      <w:lvlJc w:val="left"/>
      <w:pPr>
        <w:ind w:left="2727" w:hanging="360"/>
      </w:pPr>
      <w:rPr>
        <w:rFonts w:ascii="Wingdings" w:hAnsi="Wingdings" w:hint="default"/>
      </w:rPr>
    </w:lvl>
    <w:lvl w:ilvl="3" w:tplc="3ADA3B54" w:tentative="1">
      <w:start w:val="1"/>
      <w:numFmt w:val="bullet"/>
      <w:lvlText w:val=""/>
      <w:lvlJc w:val="left"/>
      <w:pPr>
        <w:ind w:left="3447" w:hanging="360"/>
      </w:pPr>
      <w:rPr>
        <w:rFonts w:ascii="Symbol" w:hAnsi="Symbol" w:hint="default"/>
      </w:rPr>
    </w:lvl>
    <w:lvl w:ilvl="4" w:tplc="66DA2606" w:tentative="1">
      <w:start w:val="1"/>
      <w:numFmt w:val="bullet"/>
      <w:lvlText w:val="o"/>
      <w:lvlJc w:val="left"/>
      <w:pPr>
        <w:ind w:left="4167" w:hanging="360"/>
      </w:pPr>
      <w:rPr>
        <w:rFonts w:ascii="Courier New" w:hAnsi="Courier New" w:cs="Courier New" w:hint="default"/>
      </w:rPr>
    </w:lvl>
    <w:lvl w:ilvl="5" w:tplc="3E907FF4" w:tentative="1">
      <w:start w:val="1"/>
      <w:numFmt w:val="bullet"/>
      <w:lvlText w:val=""/>
      <w:lvlJc w:val="left"/>
      <w:pPr>
        <w:ind w:left="4887" w:hanging="360"/>
      </w:pPr>
      <w:rPr>
        <w:rFonts w:ascii="Wingdings" w:hAnsi="Wingdings" w:hint="default"/>
      </w:rPr>
    </w:lvl>
    <w:lvl w:ilvl="6" w:tplc="1A2460FE" w:tentative="1">
      <w:start w:val="1"/>
      <w:numFmt w:val="bullet"/>
      <w:lvlText w:val=""/>
      <w:lvlJc w:val="left"/>
      <w:pPr>
        <w:ind w:left="5607" w:hanging="360"/>
      </w:pPr>
      <w:rPr>
        <w:rFonts w:ascii="Symbol" w:hAnsi="Symbol" w:hint="default"/>
      </w:rPr>
    </w:lvl>
    <w:lvl w:ilvl="7" w:tplc="77CC6734" w:tentative="1">
      <w:start w:val="1"/>
      <w:numFmt w:val="bullet"/>
      <w:lvlText w:val="o"/>
      <w:lvlJc w:val="left"/>
      <w:pPr>
        <w:ind w:left="6327" w:hanging="360"/>
      </w:pPr>
      <w:rPr>
        <w:rFonts w:ascii="Courier New" w:hAnsi="Courier New" w:cs="Courier New" w:hint="default"/>
      </w:rPr>
    </w:lvl>
    <w:lvl w:ilvl="8" w:tplc="9F063B66" w:tentative="1">
      <w:start w:val="1"/>
      <w:numFmt w:val="bullet"/>
      <w:lvlText w:val=""/>
      <w:lvlJc w:val="left"/>
      <w:pPr>
        <w:ind w:left="7047" w:hanging="360"/>
      </w:pPr>
      <w:rPr>
        <w:rFonts w:ascii="Wingdings" w:hAnsi="Wingdings" w:hint="default"/>
      </w:rPr>
    </w:lvl>
  </w:abstractNum>
  <w:abstractNum w:abstractNumId="15" w15:restartNumberingAfterBreak="0">
    <w:nsid w:val="54BD21DD"/>
    <w:multiLevelType w:val="multilevel"/>
    <w:tmpl w:val="4516BD58"/>
    <w:lvl w:ilvl="0">
      <w:start w:val="1"/>
      <w:numFmt w:val="bullet"/>
      <w:pStyle w:val="ListBullet"/>
      <w:lvlText w:val="•"/>
      <w:lvlJc w:val="left"/>
      <w:pPr>
        <w:ind w:left="284" w:hanging="284"/>
      </w:pPr>
      <w:rPr>
        <w:rFonts w:ascii="Calibri" w:hAnsi="Calibri" w:hint="default"/>
        <w:color w:val="2C4BA0" w:themeColor="accent1"/>
      </w:rPr>
    </w:lvl>
    <w:lvl w:ilvl="1">
      <w:start w:val="1"/>
      <w:numFmt w:val="bullet"/>
      <w:pStyle w:val="ListBullet2"/>
      <w:lvlText w:val="-"/>
      <w:lvlJc w:val="left"/>
      <w:pPr>
        <w:ind w:left="567" w:hanging="283"/>
      </w:pPr>
      <w:rPr>
        <w:rFonts w:ascii="Merriweather" w:hAnsi="Merriweather" w:hint="default"/>
        <w:color w:val="auto"/>
      </w:rPr>
    </w:lvl>
    <w:lvl w:ilvl="2">
      <w:start w:val="1"/>
      <w:numFmt w:val="bullet"/>
      <w:pStyle w:val="ListBullet3"/>
      <w:lvlText w:val="–"/>
      <w:lvlJc w:val="left"/>
      <w:pPr>
        <w:ind w:left="851" w:hanging="284"/>
      </w:pPr>
      <w:rPr>
        <w:rFonts w:ascii="Calibri" w:hAnsi="Calibri" w:hint="default"/>
        <w:color w:val="auto"/>
      </w:rPr>
    </w:lvl>
    <w:lvl w:ilvl="3">
      <w:start w:val="1"/>
      <w:numFmt w:val="bullet"/>
      <w:pStyle w:val="ListBullet4"/>
      <w:lvlText w:val="–"/>
      <w:lvlJc w:val="left"/>
      <w:pPr>
        <w:ind w:left="1134" w:hanging="283"/>
      </w:pPr>
      <w:rPr>
        <w:rFonts w:ascii="Calibri" w:hAnsi="Calibri"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6" w15:restartNumberingAfterBreak="0">
    <w:nsid w:val="58686650"/>
    <w:multiLevelType w:val="multilevel"/>
    <w:tmpl w:val="4BAED780"/>
    <w:lvl w:ilvl="0">
      <w:start w:val="9"/>
      <w:numFmt w:val="decimal"/>
      <w:lvlText w:val="%1."/>
      <w:lvlJc w:val="left"/>
      <w:pPr>
        <w:tabs>
          <w:tab w:val="num" w:pos="360"/>
        </w:tabs>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Restart w:val="0"/>
      <w:isLgl/>
      <w:lvlText w:val="Figure %1-%4:"/>
      <w:lvlJc w:val="left"/>
      <w:pPr>
        <w:ind w:left="1134" w:hanging="1134"/>
      </w:pPr>
      <w:rPr>
        <w:rFonts w:hint="default"/>
        <w:color w:val="2C4BA0" w:themeColor="accent1"/>
      </w:rPr>
    </w:lvl>
    <w:lvl w:ilvl="4">
      <w:start w:val="1"/>
      <w:numFmt w:val="decimal"/>
      <w:lvlRestart w:val="0"/>
      <w:isLgl/>
      <w:lvlText w:val="Table %1-%5:"/>
      <w:lvlJc w:val="left"/>
      <w:pPr>
        <w:ind w:left="4111" w:hanging="1134"/>
      </w:pPr>
      <w:rPr>
        <w:rFonts w:hint="default"/>
        <w:color w:val="2C4BA0" w:themeColor="accent1"/>
      </w:rPr>
    </w:lvl>
    <w:lvl w:ilvl="5">
      <w:start w:val="1"/>
      <w:numFmt w:val="decimal"/>
      <w:lvlText w:val="%1.%2.%3.%6."/>
      <w:lvlJc w:val="left"/>
      <w:pPr>
        <w:ind w:left="851" w:hanging="851"/>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60E1502C"/>
    <w:multiLevelType w:val="multilevel"/>
    <w:tmpl w:val="4516BD58"/>
    <w:styleLink w:val="Bullets"/>
    <w:lvl w:ilvl="0">
      <w:start w:val="1"/>
      <w:numFmt w:val="bullet"/>
      <w:lvlText w:val="•"/>
      <w:lvlJc w:val="left"/>
      <w:pPr>
        <w:ind w:left="284" w:hanging="284"/>
      </w:pPr>
      <w:rPr>
        <w:rFonts w:ascii="Calibri" w:hAnsi="Calibri" w:hint="default"/>
        <w:color w:val="2C4BA0" w:themeColor="accent1"/>
      </w:rPr>
    </w:lvl>
    <w:lvl w:ilvl="1">
      <w:start w:val="1"/>
      <w:numFmt w:val="bullet"/>
      <w:lvlText w:val="-"/>
      <w:lvlJc w:val="left"/>
      <w:pPr>
        <w:ind w:left="567" w:hanging="283"/>
      </w:pPr>
      <w:rPr>
        <w:rFonts w:ascii="Merriweather" w:hAnsi="Merriweather" w:hint="default"/>
        <w:color w:val="auto"/>
      </w:rPr>
    </w:lvl>
    <w:lvl w:ilvl="2">
      <w:start w:val="1"/>
      <w:numFmt w:val="bullet"/>
      <w:lvlText w:val="–"/>
      <w:lvlJc w:val="left"/>
      <w:pPr>
        <w:ind w:left="851" w:hanging="284"/>
      </w:pPr>
      <w:rPr>
        <w:rFonts w:ascii="Calibri" w:hAnsi="Calibri" w:hint="default"/>
        <w:color w:val="auto"/>
      </w:rPr>
    </w:lvl>
    <w:lvl w:ilvl="3">
      <w:start w:val="1"/>
      <w:numFmt w:val="bullet"/>
      <w:lvlText w:val="–"/>
      <w:lvlJc w:val="left"/>
      <w:pPr>
        <w:ind w:left="1134" w:hanging="283"/>
      </w:pPr>
      <w:rPr>
        <w:rFonts w:ascii="Calibri" w:hAnsi="Calibri"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8" w15:restartNumberingAfterBreak="0">
    <w:nsid w:val="77413AD9"/>
    <w:multiLevelType w:val="multilevel"/>
    <w:tmpl w:val="2842FAB0"/>
    <w:styleLink w:val="AppendixHeadings"/>
    <w:lvl w:ilvl="0">
      <w:start w:val="1"/>
      <w:numFmt w:val="upperLetter"/>
      <w:lvlText w:val="Appendix %1"/>
      <w:lvlJc w:val="left"/>
      <w:pPr>
        <w:ind w:left="0" w:firstLine="0"/>
      </w:pPr>
      <w:rPr>
        <w:rFonts w:ascii="Century Gothic" w:hAnsi="Century Gothic" w:hint="default"/>
        <w:b/>
        <w:i w:val="0"/>
        <w:sz w:val="8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254897668">
    <w:abstractNumId w:val="17"/>
  </w:num>
  <w:num w:numId="2" w16cid:durableId="445738277">
    <w:abstractNumId w:val="6"/>
  </w:num>
  <w:num w:numId="3" w16cid:durableId="1793594145">
    <w:abstractNumId w:val="5"/>
  </w:num>
  <w:num w:numId="4" w16cid:durableId="1354846621">
    <w:abstractNumId w:val="7"/>
  </w:num>
  <w:num w:numId="5" w16cid:durableId="1348822989">
    <w:abstractNumId w:val="11"/>
  </w:num>
  <w:num w:numId="6" w16cid:durableId="1818767665">
    <w:abstractNumId w:val="15"/>
  </w:num>
  <w:num w:numId="7" w16cid:durableId="1564754712">
    <w:abstractNumId w:val="10"/>
  </w:num>
  <w:num w:numId="8" w16cid:durableId="2132821855">
    <w:abstractNumId w:val="18"/>
  </w:num>
  <w:num w:numId="9" w16cid:durableId="59980708">
    <w:abstractNumId w:val="13"/>
  </w:num>
  <w:num w:numId="10" w16cid:durableId="1414398764">
    <w:abstractNumId w:val="15"/>
  </w:num>
  <w:num w:numId="11" w16cid:durableId="816259461">
    <w:abstractNumId w:val="12"/>
  </w:num>
  <w:num w:numId="12" w16cid:durableId="1098331980">
    <w:abstractNumId w:val="3"/>
  </w:num>
  <w:num w:numId="13" w16cid:durableId="507794981">
    <w:abstractNumId w:val="0"/>
  </w:num>
  <w:num w:numId="14" w16cid:durableId="364211503">
    <w:abstractNumId w:val="2"/>
  </w:num>
  <w:num w:numId="15" w16cid:durableId="7828801">
    <w:abstractNumId w:val="8"/>
  </w:num>
  <w:num w:numId="16" w16cid:durableId="1105924734">
    <w:abstractNumId w:val="16"/>
  </w:num>
  <w:num w:numId="17" w16cid:durableId="434444498">
    <w:abstractNumId w:val="14"/>
  </w:num>
  <w:num w:numId="18" w16cid:durableId="2002660119">
    <w:abstractNumId w:val="0"/>
  </w:num>
  <w:num w:numId="19" w16cid:durableId="462387569">
    <w:abstractNumId w:val="9"/>
  </w:num>
  <w:num w:numId="20" w16cid:durableId="988171638">
    <w:abstractNumId w:val="10"/>
  </w:num>
  <w:num w:numId="21" w16cid:durableId="2042701954">
    <w:abstractNumId w:val="10"/>
  </w:num>
  <w:num w:numId="22" w16cid:durableId="1607691729">
    <w:abstractNumId w:val="1"/>
  </w:num>
  <w:num w:numId="23" w16cid:durableId="551892601">
    <w:abstractNumId w:val="4"/>
  </w:num>
  <w:num w:numId="24" w16cid:durableId="209473990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3817401">
    <w:abstractNumId w:val="10"/>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63598167">
    <w:abstractNumId w:val="2"/>
  </w:num>
  <w:num w:numId="27" w16cid:durableId="118227224">
    <w:abstractNumId w:val="2"/>
  </w:num>
  <w:num w:numId="28" w16cid:durableId="116635927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6juqUsQy61bFfu9IVrZOWT3cS25vzfGpN+3rS651Z5yc9nSSVUd3/2NZYXIUXpwA1B/FPbl4kFAUn3iT0H658A==" w:salt="noQDz4Vlze073p6webjJCg=="/>
  <w:defaultTabStop w:val="720"/>
  <w:evenAndOddHeaders/>
  <w:characterSpacingControl w:val="doNotCompress"/>
  <w:hdrShapeDefaults>
    <o:shapedefaults v:ext="edit" spidmax="2050"/>
  </w:hdrShapeDefaults>
  <w:footnotePr>
    <w:numFmt w:val="chicago"/>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5BC"/>
    <w:rsid w:val="00000027"/>
    <w:rsid w:val="00000208"/>
    <w:rsid w:val="000005D5"/>
    <w:rsid w:val="000006EA"/>
    <w:rsid w:val="00000AF6"/>
    <w:rsid w:val="000014A8"/>
    <w:rsid w:val="00002046"/>
    <w:rsid w:val="0000233F"/>
    <w:rsid w:val="00003179"/>
    <w:rsid w:val="00003499"/>
    <w:rsid w:val="0000357C"/>
    <w:rsid w:val="00003C0E"/>
    <w:rsid w:val="00003F78"/>
    <w:rsid w:val="00004033"/>
    <w:rsid w:val="000041F8"/>
    <w:rsid w:val="000043ED"/>
    <w:rsid w:val="0000450E"/>
    <w:rsid w:val="0000465C"/>
    <w:rsid w:val="0000484C"/>
    <w:rsid w:val="00005052"/>
    <w:rsid w:val="00005434"/>
    <w:rsid w:val="00005BB8"/>
    <w:rsid w:val="00005DF9"/>
    <w:rsid w:val="00006122"/>
    <w:rsid w:val="00006595"/>
    <w:rsid w:val="00007E2C"/>
    <w:rsid w:val="00010944"/>
    <w:rsid w:val="00011321"/>
    <w:rsid w:val="000120D7"/>
    <w:rsid w:val="000126BC"/>
    <w:rsid w:val="00012BD0"/>
    <w:rsid w:val="00012D1B"/>
    <w:rsid w:val="00012F86"/>
    <w:rsid w:val="00012FA8"/>
    <w:rsid w:val="00013600"/>
    <w:rsid w:val="000141DE"/>
    <w:rsid w:val="0001503F"/>
    <w:rsid w:val="00015F25"/>
    <w:rsid w:val="00016949"/>
    <w:rsid w:val="000175DB"/>
    <w:rsid w:val="000177B3"/>
    <w:rsid w:val="00017D47"/>
    <w:rsid w:val="0002083E"/>
    <w:rsid w:val="00020C22"/>
    <w:rsid w:val="00021940"/>
    <w:rsid w:val="000224E9"/>
    <w:rsid w:val="00023BDB"/>
    <w:rsid w:val="00024402"/>
    <w:rsid w:val="00024C79"/>
    <w:rsid w:val="00024E71"/>
    <w:rsid w:val="00024FE8"/>
    <w:rsid w:val="00025214"/>
    <w:rsid w:val="00025A49"/>
    <w:rsid w:val="00025ABC"/>
    <w:rsid w:val="00026A1B"/>
    <w:rsid w:val="00026A26"/>
    <w:rsid w:val="00026B44"/>
    <w:rsid w:val="000270C0"/>
    <w:rsid w:val="00027AFE"/>
    <w:rsid w:val="00027D10"/>
    <w:rsid w:val="000300AF"/>
    <w:rsid w:val="0003022F"/>
    <w:rsid w:val="00030CEF"/>
    <w:rsid w:val="00031290"/>
    <w:rsid w:val="00032BD1"/>
    <w:rsid w:val="00032C89"/>
    <w:rsid w:val="00033034"/>
    <w:rsid w:val="000331C6"/>
    <w:rsid w:val="000332FE"/>
    <w:rsid w:val="00033AF7"/>
    <w:rsid w:val="00033E7C"/>
    <w:rsid w:val="000345D9"/>
    <w:rsid w:val="00034634"/>
    <w:rsid w:val="000346B4"/>
    <w:rsid w:val="00034AFE"/>
    <w:rsid w:val="00034E77"/>
    <w:rsid w:val="000350EA"/>
    <w:rsid w:val="000352FF"/>
    <w:rsid w:val="00035D4E"/>
    <w:rsid w:val="000365C5"/>
    <w:rsid w:val="00036DFA"/>
    <w:rsid w:val="000371F7"/>
    <w:rsid w:val="00037B22"/>
    <w:rsid w:val="00037B62"/>
    <w:rsid w:val="00037BEA"/>
    <w:rsid w:val="0004059E"/>
    <w:rsid w:val="000405CF"/>
    <w:rsid w:val="000405F6"/>
    <w:rsid w:val="00040C22"/>
    <w:rsid w:val="00042064"/>
    <w:rsid w:val="0004210D"/>
    <w:rsid w:val="00042594"/>
    <w:rsid w:val="0004260E"/>
    <w:rsid w:val="00042A72"/>
    <w:rsid w:val="00042AD9"/>
    <w:rsid w:val="00042E15"/>
    <w:rsid w:val="00043249"/>
    <w:rsid w:val="00043644"/>
    <w:rsid w:val="00043A18"/>
    <w:rsid w:val="00043C4B"/>
    <w:rsid w:val="00043DDA"/>
    <w:rsid w:val="000449F9"/>
    <w:rsid w:val="00044EF2"/>
    <w:rsid w:val="000455AA"/>
    <w:rsid w:val="00045774"/>
    <w:rsid w:val="0004593A"/>
    <w:rsid w:val="00046084"/>
    <w:rsid w:val="0004624B"/>
    <w:rsid w:val="00047759"/>
    <w:rsid w:val="00047918"/>
    <w:rsid w:val="00047962"/>
    <w:rsid w:val="00047B4C"/>
    <w:rsid w:val="00047B5C"/>
    <w:rsid w:val="00047F27"/>
    <w:rsid w:val="00050B6A"/>
    <w:rsid w:val="000519BF"/>
    <w:rsid w:val="00053191"/>
    <w:rsid w:val="00053812"/>
    <w:rsid w:val="000538C1"/>
    <w:rsid w:val="00053EAF"/>
    <w:rsid w:val="000541F2"/>
    <w:rsid w:val="000542D0"/>
    <w:rsid w:val="00054CC0"/>
    <w:rsid w:val="00054E3E"/>
    <w:rsid w:val="00054F30"/>
    <w:rsid w:val="00054F6F"/>
    <w:rsid w:val="0005583C"/>
    <w:rsid w:val="00055B1F"/>
    <w:rsid w:val="00055D1B"/>
    <w:rsid w:val="00056AF5"/>
    <w:rsid w:val="00056E55"/>
    <w:rsid w:val="0005709E"/>
    <w:rsid w:val="00057521"/>
    <w:rsid w:val="00057C7B"/>
    <w:rsid w:val="00057D6C"/>
    <w:rsid w:val="00057EEB"/>
    <w:rsid w:val="00060483"/>
    <w:rsid w:val="000612AF"/>
    <w:rsid w:val="0006132B"/>
    <w:rsid w:val="000613EF"/>
    <w:rsid w:val="000614C8"/>
    <w:rsid w:val="000635AB"/>
    <w:rsid w:val="00063B8A"/>
    <w:rsid w:val="00064948"/>
    <w:rsid w:val="00064AB6"/>
    <w:rsid w:val="00064DA6"/>
    <w:rsid w:val="000653A9"/>
    <w:rsid w:val="00065B91"/>
    <w:rsid w:val="000660DC"/>
    <w:rsid w:val="0006610D"/>
    <w:rsid w:val="00066EFA"/>
    <w:rsid w:val="00067770"/>
    <w:rsid w:val="00067898"/>
    <w:rsid w:val="00067AFA"/>
    <w:rsid w:val="00067C17"/>
    <w:rsid w:val="00067CA3"/>
    <w:rsid w:val="00067FDD"/>
    <w:rsid w:val="00070129"/>
    <w:rsid w:val="0007054A"/>
    <w:rsid w:val="000713C9"/>
    <w:rsid w:val="00071C78"/>
    <w:rsid w:val="00071E84"/>
    <w:rsid w:val="000724AE"/>
    <w:rsid w:val="000727DF"/>
    <w:rsid w:val="00072AD9"/>
    <w:rsid w:val="0007322F"/>
    <w:rsid w:val="0007385E"/>
    <w:rsid w:val="000742F4"/>
    <w:rsid w:val="00075469"/>
    <w:rsid w:val="0007575F"/>
    <w:rsid w:val="00075B19"/>
    <w:rsid w:val="00076262"/>
    <w:rsid w:val="000767D3"/>
    <w:rsid w:val="000768B3"/>
    <w:rsid w:val="000769EB"/>
    <w:rsid w:val="00076DB3"/>
    <w:rsid w:val="00077558"/>
    <w:rsid w:val="00077A0D"/>
    <w:rsid w:val="00077F1D"/>
    <w:rsid w:val="00080113"/>
    <w:rsid w:val="0008037D"/>
    <w:rsid w:val="00080461"/>
    <w:rsid w:val="00080589"/>
    <w:rsid w:val="00080A2F"/>
    <w:rsid w:val="000811CF"/>
    <w:rsid w:val="0008154C"/>
    <w:rsid w:val="000818FF"/>
    <w:rsid w:val="00082418"/>
    <w:rsid w:val="00082B4B"/>
    <w:rsid w:val="000839B4"/>
    <w:rsid w:val="00083FA8"/>
    <w:rsid w:val="000840DF"/>
    <w:rsid w:val="00084150"/>
    <w:rsid w:val="0008434F"/>
    <w:rsid w:val="000846C7"/>
    <w:rsid w:val="00084E7D"/>
    <w:rsid w:val="0008514D"/>
    <w:rsid w:val="00085291"/>
    <w:rsid w:val="00085AE6"/>
    <w:rsid w:val="00085E94"/>
    <w:rsid w:val="0008606A"/>
    <w:rsid w:val="00086C07"/>
    <w:rsid w:val="00087029"/>
    <w:rsid w:val="0008724B"/>
    <w:rsid w:val="00087BB6"/>
    <w:rsid w:val="0009024A"/>
    <w:rsid w:val="000902C8"/>
    <w:rsid w:val="0009080F"/>
    <w:rsid w:val="00090E0E"/>
    <w:rsid w:val="00090F04"/>
    <w:rsid w:val="00091028"/>
    <w:rsid w:val="000917A8"/>
    <w:rsid w:val="00091A52"/>
    <w:rsid w:val="000924B6"/>
    <w:rsid w:val="00092747"/>
    <w:rsid w:val="00092E39"/>
    <w:rsid w:val="00092F2B"/>
    <w:rsid w:val="00093B36"/>
    <w:rsid w:val="000944C8"/>
    <w:rsid w:val="00094F7A"/>
    <w:rsid w:val="00096299"/>
    <w:rsid w:val="00096434"/>
    <w:rsid w:val="00096916"/>
    <w:rsid w:val="00096BF0"/>
    <w:rsid w:val="00097366"/>
    <w:rsid w:val="000979FA"/>
    <w:rsid w:val="000A0791"/>
    <w:rsid w:val="000A09B5"/>
    <w:rsid w:val="000A0EC9"/>
    <w:rsid w:val="000A1A5B"/>
    <w:rsid w:val="000A1A6A"/>
    <w:rsid w:val="000A1FDB"/>
    <w:rsid w:val="000A23B3"/>
    <w:rsid w:val="000A2B12"/>
    <w:rsid w:val="000A2B3B"/>
    <w:rsid w:val="000A2C9E"/>
    <w:rsid w:val="000A3BCD"/>
    <w:rsid w:val="000A3CA9"/>
    <w:rsid w:val="000A3D67"/>
    <w:rsid w:val="000A435E"/>
    <w:rsid w:val="000A51CC"/>
    <w:rsid w:val="000A53E9"/>
    <w:rsid w:val="000A5629"/>
    <w:rsid w:val="000A6641"/>
    <w:rsid w:val="000A6BFB"/>
    <w:rsid w:val="000A6F93"/>
    <w:rsid w:val="000A7144"/>
    <w:rsid w:val="000A723D"/>
    <w:rsid w:val="000A7E43"/>
    <w:rsid w:val="000A7FFB"/>
    <w:rsid w:val="000B10C0"/>
    <w:rsid w:val="000B1CF7"/>
    <w:rsid w:val="000B25C1"/>
    <w:rsid w:val="000B2775"/>
    <w:rsid w:val="000B2B98"/>
    <w:rsid w:val="000B3EF6"/>
    <w:rsid w:val="000B497F"/>
    <w:rsid w:val="000B4F7B"/>
    <w:rsid w:val="000B5088"/>
    <w:rsid w:val="000B5773"/>
    <w:rsid w:val="000B5C6E"/>
    <w:rsid w:val="000B61A0"/>
    <w:rsid w:val="000B6230"/>
    <w:rsid w:val="000B69DA"/>
    <w:rsid w:val="000B6AE7"/>
    <w:rsid w:val="000B703C"/>
    <w:rsid w:val="000B76A1"/>
    <w:rsid w:val="000C0325"/>
    <w:rsid w:val="000C077F"/>
    <w:rsid w:val="000C0821"/>
    <w:rsid w:val="000C0C68"/>
    <w:rsid w:val="000C1E72"/>
    <w:rsid w:val="000C2C22"/>
    <w:rsid w:val="000C2F7F"/>
    <w:rsid w:val="000C3CA8"/>
    <w:rsid w:val="000C5059"/>
    <w:rsid w:val="000C560D"/>
    <w:rsid w:val="000C5BC1"/>
    <w:rsid w:val="000C65F0"/>
    <w:rsid w:val="000C66A3"/>
    <w:rsid w:val="000C67BA"/>
    <w:rsid w:val="000C6D31"/>
    <w:rsid w:val="000C7184"/>
    <w:rsid w:val="000D0C36"/>
    <w:rsid w:val="000D0FD0"/>
    <w:rsid w:val="000D11A2"/>
    <w:rsid w:val="000D17FB"/>
    <w:rsid w:val="000D2380"/>
    <w:rsid w:val="000D2947"/>
    <w:rsid w:val="000D2C68"/>
    <w:rsid w:val="000D2FF1"/>
    <w:rsid w:val="000D2FF5"/>
    <w:rsid w:val="000D3735"/>
    <w:rsid w:val="000D37D5"/>
    <w:rsid w:val="000D3881"/>
    <w:rsid w:val="000D422D"/>
    <w:rsid w:val="000D4533"/>
    <w:rsid w:val="000D4CB2"/>
    <w:rsid w:val="000D4F9D"/>
    <w:rsid w:val="000D53DF"/>
    <w:rsid w:val="000D555D"/>
    <w:rsid w:val="000D66B8"/>
    <w:rsid w:val="000D69CB"/>
    <w:rsid w:val="000D6A31"/>
    <w:rsid w:val="000D6AA3"/>
    <w:rsid w:val="000D73AB"/>
    <w:rsid w:val="000D78AB"/>
    <w:rsid w:val="000E01DD"/>
    <w:rsid w:val="000E0A58"/>
    <w:rsid w:val="000E1398"/>
    <w:rsid w:val="000E21B9"/>
    <w:rsid w:val="000E246F"/>
    <w:rsid w:val="000E2645"/>
    <w:rsid w:val="000E2D78"/>
    <w:rsid w:val="000E3953"/>
    <w:rsid w:val="000E3C22"/>
    <w:rsid w:val="000E449F"/>
    <w:rsid w:val="000E4B28"/>
    <w:rsid w:val="000E4B37"/>
    <w:rsid w:val="000E5388"/>
    <w:rsid w:val="000E6C62"/>
    <w:rsid w:val="000E6C99"/>
    <w:rsid w:val="000E7D0F"/>
    <w:rsid w:val="000E7DC6"/>
    <w:rsid w:val="000F06E6"/>
    <w:rsid w:val="000F0927"/>
    <w:rsid w:val="000F0E7F"/>
    <w:rsid w:val="000F124A"/>
    <w:rsid w:val="000F1686"/>
    <w:rsid w:val="000F1BBB"/>
    <w:rsid w:val="000F1D07"/>
    <w:rsid w:val="000F25E7"/>
    <w:rsid w:val="000F2688"/>
    <w:rsid w:val="000F27E5"/>
    <w:rsid w:val="000F2E3B"/>
    <w:rsid w:val="000F33BA"/>
    <w:rsid w:val="000F35B3"/>
    <w:rsid w:val="000F36EC"/>
    <w:rsid w:val="000F3F0B"/>
    <w:rsid w:val="000F4337"/>
    <w:rsid w:val="000F458F"/>
    <w:rsid w:val="000F548C"/>
    <w:rsid w:val="000F5909"/>
    <w:rsid w:val="000F5BDD"/>
    <w:rsid w:val="000F6A34"/>
    <w:rsid w:val="00100B16"/>
    <w:rsid w:val="00100E85"/>
    <w:rsid w:val="00101651"/>
    <w:rsid w:val="00101EAE"/>
    <w:rsid w:val="0010279F"/>
    <w:rsid w:val="00103B94"/>
    <w:rsid w:val="001042AF"/>
    <w:rsid w:val="00105476"/>
    <w:rsid w:val="00105C30"/>
    <w:rsid w:val="001060CC"/>
    <w:rsid w:val="00106249"/>
    <w:rsid w:val="00106E48"/>
    <w:rsid w:val="00106F8C"/>
    <w:rsid w:val="00107215"/>
    <w:rsid w:val="001072AA"/>
    <w:rsid w:val="00107C02"/>
    <w:rsid w:val="00107EC3"/>
    <w:rsid w:val="00110081"/>
    <w:rsid w:val="00110087"/>
    <w:rsid w:val="001103C9"/>
    <w:rsid w:val="00110618"/>
    <w:rsid w:val="00110CBF"/>
    <w:rsid w:val="00110ECA"/>
    <w:rsid w:val="00111264"/>
    <w:rsid w:val="00111455"/>
    <w:rsid w:val="00111DCB"/>
    <w:rsid w:val="0011259A"/>
    <w:rsid w:val="00112603"/>
    <w:rsid w:val="00112BF6"/>
    <w:rsid w:val="00112E8F"/>
    <w:rsid w:val="00112EF0"/>
    <w:rsid w:val="00112F9C"/>
    <w:rsid w:val="001130DB"/>
    <w:rsid w:val="00113F1A"/>
    <w:rsid w:val="00114E27"/>
    <w:rsid w:val="00114F60"/>
    <w:rsid w:val="001154EE"/>
    <w:rsid w:val="00115775"/>
    <w:rsid w:val="0011577E"/>
    <w:rsid w:val="00115795"/>
    <w:rsid w:val="00116056"/>
    <w:rsid w:val="0011626C"/>
    <w:rsid w:val="00116731"/>
    <w:rsid w:val="00117261"/>
    <w:rsid w:val="00117290"/>
    <w:rsid w:val="0011764B"/>
    <w:rsid w:val="001176C4"/>
    <w:rsid w:val="00117917"/>
    <w:rsid w:val="00120822"/>
    <w:rsid w:val="00120924"/>
    <w:rsid w:val="00120FEB"/>
    <w:rsid w:val="0012172E"/>
    <w:rsid w:val="001219B8"/>
    <w:rsid w:val="00122242"/>
    <w:rsid w:val="00122707"/>
    <w:rsid w:val="00122DCE"/>
    <w:rsid w:val="00122F80"/>
    <w:rsid w:val="00122F9E"/>
    <w:rsid w:val="0012337F"/>
    <w:rsid w:val="00123800"/>
    <w:rsid w:val="00123EE7"/>
    <w:rsid w:val="0012431B"/>
    <w:rsid w:val="001246F4"/>
    <w:rsid w:val="00124D66"/>
    <w:rsid w:val="00125067"/>
    <w:rsid w:val="00125800"/>
    <w:rsid w:val="00125ABC"/>
    <w:rsid w:val="00125DEA"/>
    <w:rsid w:val="00125E0D"/>
    <w:rsid w:val="0012608E"/>
    <w:rsid w:val="001268BC"/>
    <w:rsid w:val="00126BA6"/>
    <w:rsid w:val="00126D19"/>
    <w:rsid w:val="00127106"/>
    <w:rsid w:val="0012710A"/>
    <w:rsid w:val="00127AD0"/>
    <w:rsid w:val="00130A3D"/>
    <w:rsid w:val="00131A4A"/>
    <w:rsid w:val="00132002"/>
    <w:rsid w:val="001321F0"/>
    <w:rsid w:val="00132306"/>
    <w:rsid w:val="00132861"/>
    <w:rsid w:val="0013351A"/>
    <w:rsid w:val="0013382A"/>
    <w:rsid w:val="0013390E"/>
    <w:rsid w:val="00133B8B"/>
    <w:rsid w:val="0013534E"/>
    <w:rsid w:val="00135526"/>
    <w:rsid w:val="00135543"/>
    <w:rsid w:val="00135D52"/>
    <w:rsid w:val="00136794"/>
    <w:rsid w:val="001368A2"/>
    <w:rsid w:val="00136923"/>
    <w:rsid w:val="001369B6"/>
    <w:rsid w:val="00136A6C"/>
    <w:rsid w:val="00136C68"/>
    <w:rsid w:val="00137156"/>
    <w:rsid w:val="00137593"/>
    <w:rsid w:val="0013790D"/>
    <w:rsid w:val="00137B7B"/>
    <w:rsid w:val="00140334"/>
    <w:rsid w:val="001405EB"/>
    <w:rsid w:val="001408AA"/>
    <w:rsid w:val="00140A35"/>
    <w:rsid w:val="00140BBA"/>
    <w:rsid w:val="001412B4"/>
    <w:rsid w:val="00141367"/>
    <w:rsid w:val="00141855"/>
    <w:rsid w:val="00141902"/>
    <w:rsid w:val="00141979"/>
    <w:rsid w:val="00142259"/>
    <w:rsid w:val="00142E40"/>
    <w:rsid w:val="00142E56"/>
    <w:rsid w:val="00143205"/>
    <w:rsid w:val="0014399D"/>
    <w:rsid w:val="00144AEE"/>
    <w:rsid w:val="00145B62"/>
    <w:rsid w:val="00145D62"/>
    <w:rsid w:val="00145DFD"/>
    <w:rsid w:val="00145E16"/>
    <w:rsid w:val="00145E53"/>
    <w:rsid w:val="00146116"/>
    <w:rsid w:val="00146390"/>
    <w:rsid w:val="0014644D"/>
    <w:rsid w:val="00146955"/>
    <w:rsid w:val="00146E0F"/>
    <w:rsid w:val="00147775"/>
    <w:rsid w:val="00147AB2"/>
    <w:rsid w:val="00150273"/>
    <w:rsid w:val="0015046A"/>
    <w:rsid w:val="00150DD6"/>
    <w:rsid w:val="00151474"/>
    <w:rsid w:val="00152499"/>
    <w:rsid w:val="001527B3"/>
    <w:rsid w:val="001529E4"/>
    <w:rsid w:val="00153A98"/>
    <w:rsid w:val="00154027"/>
    <w:rsid w:val="0015405C"/>
    <w:rsid w:val="001540F4"/>
    <w:rsid w:val="0015461E"/>
    <w:rsid w:val="00154F02"/>
    <w:rsid w:val="001550F0"/>
    <w:rsid w:val="00155152"/>
    <w:rsid w:val="0015544A"/>
    <w:rsid w:val="00155570"/>
    <w:rsid w:val="001555BF"/>
    <w:rsid w:val="00155CF8"/>
    <w:rsid w:val="001563B7"/>
    <w:rsid w:val="00156C61"/>
    <w:rsid w:val="00156CF5"/>
    <w:rsid w:val="0015748B"/>
    <w:rsid w:val="001602C5"/>
    <w:rsid w:val="001605BB"/>
    <w:rsid w:val="00161651"/>
    <w:rsid w:val="00161661"/>
    <w:rsid w:val="00162EA3"/>
    <w:rsid w:val="0016398D"/>
    <w:rsid w:val="00163D37"/>
    <w:rsid w:val="00163F95"/>
    <w:rsid w:val="00164073"/>
    <w:rsid w:val="0016506F"/>
    <w:rsid w:val="00165D34"/>
    <w:rsid w:val="00166889"/>
    <w:rsid w:val="00166E5E"/>
    <w:rsid w:val="001673B1"/>
    <w:rsid w:val="00167811"/>
    <w:rsid w:val="001701ED"/>
    <w:rsid w:val="00170327"/>
    <w:rsid w:val="001704DB"/>
    <w:rsid w:val="00170AC6"/>
    <w:rsid w:val="00170D33"/>
    <w:rsid w:val="001710FC"/>
    <w:rsid w:val="00171868"/>
    <w:rsid w:val="00171CE6"/>
    <w:rsid w:val="00172724"/>
    <w:rsid w:val="00172A0B"/>
    <w:rsid w:val="00172A3C"/>
    <w:rsid w:val="001731D2"/>
    <w:rsid w:val="00173209"/>
    <w:rsid w:val="001732BC"/>
    <w:rsid w:val="001744C2"/>
    <w:rsid w:val="00174576"/>
    <w:rsid w:val="00174F51"/>
    <w:rsid w:val="001751CB"/>
    <w:rsid w:val="0017533E"/>
    <w:rsid w:val="00175A1F"/>
    <w:rsid w:val="00175F67"/>
    <w:rsid w:val="00176649"/>
    <w:rsid w:val="00176FC2"/>
    <w:rsid w:val="00177387"/>
    <w:rsid w:val="00177549"/>
    <w:rsid w:val="0017766E"/>
    <w:rsid w:val="00177B8C"/>
    <w:rsid w:val="00177C90"/>
    <w:rsid w:val="00177D52"/>
    <w:rsid w:val="00177E8F"/>
    <w:rsid w:val="001802EB"/>
    <w:rsid w:val="00180E3C"/>
    <w:rsid w:val="001812F5"/>
    <w:rsid w:val="0018189B"/>
    <w:rsid w:val="00182102"/>
    <w:rsid w:val="001831FB"/>
    <w:rsid w:val="001832EF"/>
    <w:rsid w:val="0018346A"/>
    <w:rsid w:val="001839DD"/>
    <w:rsid w:val="001842FD"/>
    <w:rsid w:val="00184A2D"/>
    <w:rsid w:val="00184BF0"/>
    <w:rsid w:val="0018501A"/>
    <w:rsid w:val="00185374"/>
    <w:rsid w:val="00186378"/>
    <w:rsid w:val="00186FCC"/>
    <w:rsid w:val="00190542"/>
    <w:rsid w:val="0019182A"/>
    <w:rsid w:val="0019184E"/>
    <w:rsid w:val="00191ABA"/>
    <w:rsid w:val="001926B8"/>
    <w:rsid w:val="0019289D"/>
    <w:rsid w:val="00192AC2"/>
    <w:rsid w:val="00192F84"/>
    <w:rsid w:val="00192FD0"/>
    <w:rsid w:val="0019365F"/>
    <w:rsid w:val="00193919"/>
    <w:rsid w:val="00194493"/>
    <w:rsid w:val="0019575F"/>
    <w:rsid w:val="00195DF1"/>
    <w:rsid w:val="001961B4"/>
    <w:rsid w:val="00196482"/>
    <w:rsid w:val="001964EA"/>
    <w:rsid w:val="0019683E"/>
    <w:rsid w:val="00196904"/>
    <w:rsid w:val="0019703B"/>
    <w:rsid w:val="001970D4"/>
    <w:rsid w:val="00197DA5"/>
    <w:rsid w:val="001A009D"/>
    <w:rsid w:val="001A02F7"/>
    <w:rsid w:val="001A077B"/>
    <w:rsid w:val="001A0911"/>
    <w:rsid w:val="001A0B2C"/>
    <w:rsid w:val="001A0D77"/>
    <w:rsid w:val="001A0F01"/>
    <w:rsid w:val="001A21E1"/>
    <w:rsid w:val="001A2B2B"/>
    <w:rsid w:val="001A35A3"/>
    <w:rsid w:val="001A46D4"/>
    <w:rsid w:val="001A4E18"/>
    <w:rsid w:val="001A5204"/>
    <w:rsid w:val="001A5E20"/>
    <w:rsid w:val="001A6B03"/>
    <w:rsid w:val="001A6F29"/>
    <w:rsid w:val="001A78E9"/>
    <w:rsid w:val="001A7AF0"/>
    <w:rsid w:val="001B05A5"/>
    <w:rsid w:val="001B083A"/>
    <w:rsid w:val="001B09EF"/>
    <w:rsid w:val="001B0CEC"/>
    <w:rsid w:val="001B0F03"/>
    <w:rsid w:val="001B1505"/>
    <w:rsid w:val="001B193D"/>
    <w:rsid w:val="001B2C33"/>
    <w:rsid w:val="001B31BD"/>
    <w:rsid w:val="001B41DB"/>
    <w:rsid w:val="001B41F4"/>
    <w:rsid w:val="001B4984"/>
    <w:rsid w:val="001B52C0"/>
    <w:rsid w:val="001B59C0"/>
    <w:rsid w:val="001B5E35"/>
    <w:rsid w:val="001B5FD8"/>
    <w:rsid w:val="001B63F7"/>
    <w:rsid w:val="001B6660"/>
    <w:rsid w:val="001B6FE7"/>
    <w:rsid w:val="001B708C"/>
    <w:rsid w:val="001C048C"/>
    <w:rsid w:val="001C06D0"/>
    <w:rsid w:val="001C0892"/>
    <w:rsid w:val="001C0999"/>
    <w:rsid w:val="001C18F8"/>
    <w:rsid w:val="001C1ADF"/>
    <w:rsid w:val="001C1DFC"/>
    <w:rsid w:val="001C1FD5"/>
    <w:rsid w:val="001C28F9"/>
    <w:rsid w:val="001C2CB4"/>
    <w:rsid w:val="001C3749"/>
    <w:rsid w:val="001C3D50"/>
    <w:rsid w:val="001C3F3A"/>
    <w:rsid w:val="001C40E7"/>
    <w:rsid w:val="001C424A"/>
    <w:rsid w:val="001C440C"/>
    <w:rsid w:val="001C6051"/>
    <w:rsid w:val="001C69CE"/>
    <w:rsid w:val="001C7835"/>
    <w:rsid w:val="001C79A0"/>
    <w:rsid w:val="001C7C85"/>
    <w:rsid w:val="001D0698"/>
    <w:rsid w:val="001D10FB"/>
    <w:rsid w:val="001D1984"/>
    <w:rsid w:val="001D248D"/>
    <w:rsid w:val="001D2536"/>
    <w:rsid w:val="001D30A7"/>
    <w:rsid w:val="001D3122"/>
    <w:rsid w:val="001D3256"/>
    <w:rsid w:val="001D3728"/>
    <w:rsid w:val="001D3876"/>
    <w:rsid w:val="001D3E27"/>
    <w:rsid w:val="001D4194"/>
    <w:rsid w:val="001D4495"/>
    <w:rsid w:val="001D4789"/>
    <w:rsid w:val="001D4988"/>
    <w:rsid w:val="001D579D"/>
    <w:rsid w:val="001D57FE"/>
    <w:rsid w:val="001D5A0B"/>
    <w:rsid w:val="001D5C06"/>
    <w:rsid w:val="001D667B"/>
    <w:rsid w:val="001D7C84"/>
    <w:rsid w:val="001D7D35"/>
    <w:rsid w:val="001E0233"/>
    <w:rsid w:val="001E06FC"/>
    <w:rsid w:val="001E0A0F"/>
    <w:rsid w:val="001E10C4"/>
    <w:rsid w:val="001E1319"/>
    <w:rsid w:val="001E1468"/>
    <w:rsid w:val="001E189C"/>
    <w:rsid w:val="001E26A3"/>
    <w:rsid w:val="001E26A9"/>
    <w:rsid w:val="001E27AC"/>
    <w:rsid w:val="001E3442"/>
    <w:rsid w:val="001E3F31"/>
    <w:rsid w:val="001E42A6"/>
    <w:rsid w:val="001E47AC"/>
    <w:rsid w:val="001E53D1"/>
    <w:rsid w:val="001E580A"/>
    <w:rsid w:val="001E7402"/>
    <w:rsid w:val="001E7902"/>
    <w:rsid w:val="001E7985"/>
    <w:rsid w:val="001E799A"/>
    <w:rsid w:val="001F0465"/>
    <w:rsid w:val="001F0EE6"/>
    <w:rsid w:val="001F13C1"/>
    <w:rsid w:val="001F207D"/>
    <w:rsid w:val="001F20EF"/>
    <w:rsid w:val="001F2AC2"/>
    <w:rsid w:val="001F3378"/>
    <w:rsid w:val="001F3C21"/>
    <w:rsid w:val="001F3EEB"/>
    <w:rsid w:val="001F3FD7"/>
    <w:rsid w:val="001F446D"/>
    <w:rsid w:val="001F4661"/>
    <w:rsid w:val="001F46ED"/>
    <w:rsid w:val="001F50F5"/>
    <w:rsid w:val="001F5344"/>
    <w:rsid w:val="001F648F"/>
    <w:rsid w:val="001F6B62"/>
    <w:rsid w:val="001F7686"/>
    <w:rsid w:val="001F799C"/>
    <w:rsid w:val="002008D6"/>
    <w:rsid w:val="0020176A"/>
    <w:rsid w:val="00201C19"/>
    <w:rsid w:val="00201CF9"/>
    <w:rsid w:val="002020E6"/>
    <w:rsid w:val="00202149"/>
    <w:rsid w:val="002023AD"/>
    <w:rsid w:val="002025DB"/>
    <w:rsid w:val="00202A73"/>
    <w:rsid w:val="00202F98"/>
    <w:rsid w:val="00203CB8"/>
    <w:rsid w:val="00203E26"/>
    <w:rsid w:val="002042EC"/>
    <w:rsid w:val="00204310"/>
    <w:rsid w:val="00204697"/>
    <w:rsid w:val="00205292"/>
    <w:rsid w:val="002056D0"/>
    <w:rsid w:val="00205B83"/>
    <w:rsid w:val="00206131"/>
    <w:rsid w:val="002066A3"/>
    <w:rsid w:val="00207398"/>
    <w:rsid w:val="0020799E"/>
    <w:rsid w:val="002079A9"/>
    <w:rsid w:val="00207D2C"/>
    <w:rsid w:val="002103A4"/>
    <w:rsid w:val="00210D82"/>
    <w:rsid w:val="00211861"/>
    <w:rsid w:val="002119DE"/>
    <w:rsid w:val="00211A4B"/>
    <w:rsid w:val="00211CF4"/>
    <w:rsid w:val="002126AD"/>
    <w:rsid w:val="002129CC"/>
    <w:rsid w:val="00212A3B"/>
    <w:rsid w:val="00212C2B"/>
    <w:rsid w:val="00212F8E"/>
    <w:rsid w:val="002136AB"/>
    <w:rsid w:val="0021481B"/>
    <w:rsid w:val="00214BFE"/>
    <w:rsid w:val="00215375"/>
    <w:rsid w:val="00215584"/>
    <w:rsid w:val="00215855"/>
    <w:rsid w:val="0021601E"/>
    <w:rsid w:val="0021613E"/>
    <w:rsid w:val="002172DF"/>
    <w:rsid w:val="002174C3"/>
    <w:rsid w:val="002178E6"/>
    <w:rsid w:val="00217C1C"/>
    <w:rsid w:val="002205B7"/>
    <w:rsid w:val="002206CA"/>
    <w:rsid w:val="00220D9C"/>
    <w:rsid w:val="00221351"/>
    <w:rsid w:val="002216E2"/>
    <w:rsid w:val="00221AB7"/>
    <w:rsid w:val="00221C37"/>
    <w:rsid w:val="00221DA1"/>
    <w:rsid w:val="0022205D"/>
    <w:rsid w:val="002228F1"/>
    <w:rsid w:val="00222B81"/>
    <w:rsid w:val="00223161"/>
    <w:rsid w:val="0022324C"/>
    <w:rsid w:val="002239CB"/>
    <w:rsid w:val="00223CD6"/>
    <w:rsid w:val="00223F38"/>
    <w:rsid w:val="00224036"/>
    <w:rsid w:val="0022430D"/>
    <w:rsid w:val="002245EF"/>
    <w:rsid w:val="002248D0"/>
    <w:rsid w:val="00224AE4"/>
    <w:rsid w:val="00224FEB"/>
    <w:rsid w:val="00225285"/>
    <w:rsid w:val="00225293"/>
    <w:rsid w:val="00225CA5"/>
    <w:rsid w:val="00225D8B"/>
    <w:rsid w:val="00225E18"/>
    <w:rsid w:val="00225EB3"/>
    <w:rsid w:val="00226FF3"/>
    <w:rsid w:val="002304B3"/>
    <w:rsid w:val="00230F9C"/>
    <w:rsid w:val="00231BD0"/>
    <w:rsid w:val="00231C5A"/>
    <w:rsid w:val="00232A2F"/>
    <w:rsid w:val="00232D58"/>
    <w:rsid w:val="0023302E"/>
    <w:rsid w:val="00233A9D"/>
    <w:rsid w:val="00234AAC"/>
    <w:rsid w:val="00235B1D"/>
    <w:rsid w:val="00235F6C"/>
    <w:rsid w:val="00236477"/>
    <w:rsid w:val="00236581"/>
    <w:rsid w:val="002366AC"/>
    <w:rsid w:val="00236FAD"/>
    <w:rsid w:val="00237940"/>
    <w:rsid w:val="00237ADE"/>
    <w:rsid w:val="00240131"/>
    <w:rsid w:val="002403B6"/>
    <w:rsid w:val="00240E8F"/>
    <w:rsid w:val="00241E64"/>
    <w:rsid w:val="00241EBF"/>
    <w:rsid w:val="0024214E"/>
    <w:rsid w:val="0024216D"/>
    <w:rsid w:val="00242384"/>
    <w:rsid w:val="0024284D"/>
    <w:rsid w:val="0024286D"/>
    <w:rsid w:val="00242BAD"/>
    <w:rsid w:val="0024341F"/>
    <w:rsid w:val="0024368E"/>
    <w:rsid w:val="002437D8"/>
    <w:rsid w:val="00243A7B"/>
    <w:rsid w:val="00243C9B"/>
    <w:rsid w:val="0024400F"/>
    <w:rsid w:val="002440E6"/>
    <w:rsid w:val="00244225"/>
    <w:rsid w:val="00244DD2"/>
    <w:rsid w:val="00245981"/>
    <w:rsid w:val="00245F1D"/>
    <w:rsid w:val="00246435"/>
    <w:rsid w:val="002466EC"/>
    <w:rsid w:val="002467B8"/>
    <w:rsid w:val="00246BCF"/>
    <w:rsid w:val="00250092"/>
    <w:rsid w:val="0025064E"/>
    <w:rsid w:val="00250D74"/>
    <w:rsid w:val="002515A2"/>
    <w:rsid w:val="00251981"/>
    <w:rsid w:val="00251F6C"/>
    <w:rsid w:val="002520E5"/>
    <w:rsid w:val="002526D0"/>
    <w:rsid w:val="00252945"/>
    <w:rsid w:val="00252B8B"/>
    <w:rsid w:val="00252CCD"/>
    <w:rsid w:val="0025449C"/>
    <w:rsid w:val="00254519"/>
    <w:rsid w:val="00254BBD"/>
    <w:rsid w:val="00256515"/>
    <w:rsid w:val="002569A1"/>
    <w:rsid w:val="00256AFC"/>
    <w:rsid w:val="00256E86"/>
    <w:rsid w:val="00256FEB"/>
    <w:rsid w:val="00257343"/>
    <w:rsid w:val="00257826"/>
    <w:rsid w:val="00257D28"/>
    <w:rsid w:val="00257FFA"/>
    <w:rsid w:val="00260148"/>
    <w:rsid w:val="002601B8"/>
    <w:rsid w:val="0026057C"/>
    <w:rsid w:val="00261FA5"/>
    <w:rsid w:val="00262B03"/>
    <w:rsid w:val="00262F0C"/>
    <w:rsid w:val="00262FE0"/>
    <w:rsid w:val="0026325E"/>
    <w:rsid w:val="0026327C"/>
    <w:rsid w:val="00263D64"/>
    <w:rsid w:val="00263E95"/>
    <w:rsid w:val="0026412A"/>
    <w:rsid w:val="00264283"/>
    <w:rsid w:val="002646F6"/>
    <w:rsid w:val="00264AC0"/>
    <w:rsid w:val="00264B7B"/>
    <w:rsid w:val="00264C24"/>
    <w:rsid w:val="00264E71"/>
    <w:rsid w:val="00265769"/>
    <w:rsid w:val="0026599A"/>
    <w:rsid w:val="00265C3A"/>
    <w:rsid w:val="00265DED"/>
    <w:rsid w:val="00266215"/>
    <w:rsid w:val="0026669E"/>
    <w:rsid w:val="00266E5D"/>
    <w:rsid w:val="002675F3"/>
    <w:rsid w:val="00267875"/>
    <w:rsid w:val="00267D46"/>
    <w:rsid w:val="00267EBB"/>
    <w:rsid w:val="00270146"/>
    <w:rsid w:val="00270834"/>
    <w:rsid w:val="00271127"/>
    <w:rsid w:val="00271B91"/>
    <w:rsid w:val="00271C3F"/>
    <w:rsid w:val="00272178"/>
    <w:rsid w:val="00272612"/>
    <w:rsid w:val="00272A1D"/>
    <w:rsid w:val="002730A9"/>
    <w:rsid w:val="00273198"/>
    <w:rsid w:val="00273670"/>
    <w:rsid w:val="002738F1"/>
    <w:rsid w:val="00273C8A"/>
    <w:rsid w:val="002744CC"/>
    <w:rsid w:val="00274673"/>
    <w:rsid w:val="00274761"/>
    <w:rsid w:val="002748DD"/>
    <w:rsid w:val="00274C93"/>
    <w:rsid w:val="00275F7E"/>
    <w:rsid w:val="00276226"/>
    <w:rsid w:val="0027632E"/>
    <w:rsid w:val="00276C20"/>
    <w:rsid w:val="002771C3"/>
    <w:rsid w:val="002771CA"/>
    <w:rsid w:val="0027764A"/>
    <w:rsid w:val="00277A24"/>
    <w:rsid w:val="00277A2A"/>
    <w:rsid w:val="00277AE4"/>
    <w:rsid w:val="00277F19"/>
    <w:rsid w:val="002800CF"/>
    <w:rsid w:val="002804E9"/>
    <w:rsid w:val="0028058D"/>
    <w:rsid w:val="002814E6"/>
    <w:rsid w:val="00281EBC"/>
    <w:rsid w:val="00282147"/>
    <w:rsid w:val="0028270E"/>
    <w:rsid w:val="0028287D"/>
    <w:rsid w:val="00282BF0"/>
    <w:rsid w:val="00282CFF"/>
    <w:rsid w:val="002838CF"/>
    <w:rsid w:val="002841D2"/>
    <w:rsid w:val="00284B2C"/>
    <w:rsid w:val="00284DC9"/>
    <w:rsid w:val="0028511A"/>
    <w:rsid w:val="00286126"/>
    <w:rsid w:val="0028647C"/>
    <w:rsid w:val="00286895"/>
    <w:rsid w:val="00286927"/>
    <w:rsid w:val="002871A4"/>
    <w:rsid w:val="0028752A"/>
    <w:rsid w:val="00287CAA"/>
    <w:rsid w:val="00287EEF"/>
    <w:rsid w:val="0029108B"/>
    <w:rsid w:val="0029120A"/>
    <w:rsid w:val="00291227"/>
    <w:rsid w:val="002915B4"/>
    <w:rsid w:val="00291E2D"/>
    <w:rsid w:val="002930BC"/>
    <w:rsid w:val="002931B3"/>
    <w:rsid w:val="0029388F"/>
    <w:rsid w:val="00293BB8"/>
    <w:rsid w:val="00294529"/>
    <w:rsid w:val="002946CD"/>
    <w:rsid w:val="002946E5"/>
    <w:rsid w:val="002949CB"/>
    <w:rsid w:val="00295B4C"/>
    <w:rsid w:val="0029692E"/>
    <w:rsid w:val="00296CEE"/>
    <w:rsid w:val="00296D57"/>
    <w:rsid w:val="00297099"/>
    <w:rsid w:val="00297272"/>
    <w:rsid w:val="00297390"/>
    <w:rsid w:val="002976DC"/>
    <w:rsid w:val="00297806"/>
    <w:rsid w:val="00297BD7"/>
    <w:rsid w:val="002A030A"/>
    <w:rsid w:val="002A04BB"/>
    <w:rsid w:val="002A1329"/>
    <w:rsid w:val="002A1474"/>
    <w:rsid w:val="002A2863"/>
    <w:rsid w:val="002A2EB2"/>
    <w:rsid w:val="002A30AE"/>
    <w:rsid w:val="002A3C69"/>
    <w:rsid w:val="002A5577"/>
    <w:rsid w:val="002A55A5"/>
    <w:rsid w:val="002A5AF9"/>
    <w:rsid w:val="002A5D8D"/>
    <w:rsid w:val="002A5D94"/>
    <w:rsid w:val="002A5EDA"/>
    <w:rsid w:val="002A6258"/>
    <w:rsid w:val="002A6549"/>
    <w:rsid w:val="002A654D"/>
    <w:rsid w:val="002A7098"/>
    <w:rsid w:val="002B03CC"/>
    <w:rsid w:val="002B0409"/>
    <w:rsid w:val="002B0828"/>
    <w:rsid w:val="002B1422"/>
    <w:rsid w:val="002B145E"/>
    <w:rsid w:val="002B1529"/>
    <w:rsid w:val="002B1C09"/>
    <w:rsid w:val="002B2089"/>
    <w:rsid w:val="002B211C"/>
    <w:rsid w:val="002B2575"/>
    <w:rsid w:val="002B2913"/>
    <w:rsid w:val="002B29E2"/>
    <w:rsid w:val="002B32E0"/>
    <w:rsid w:val="002B378D"/>
    <w:rsid w:val="002B3A57"/>
    <w:rsid w:val="002B4B76"/>
    <w:rsid w:val="002B4BF5"/>
    <w:rsid w:val="002B4D34"/>
    <w:rsid w:val="002B51D6"/>
    <w:rsid w:val="002B580D"/>
    <w:rsid w:val="002B5B22"/>
    <w:rsid w:val="002B5CE9"/>
    <w:rsid w:val="002B5D91"/>
    <w:rsid w:val="002B5DA7"/>
    <w:rsid w:val="002B5FFC"/>
    <w:rsid w:val="002B6593"/>
    <w:rsid w:val="002B6709"/>
    <w:rsid w:val="002B6E9C"/>
    <w:rsid w:val="002B6F90"/>
    <w:rsid w:val="002B6F97"/>
    <w:rsid w:val="002B73BB"/>
    <w:rsid w:val="002B7A29"/>
    <w:rsid w:val="002B7C8E"/>
    <w:rsid w:val="002B7E5F"/>
    <w:rsid w:val="002B7EC4"/>
    <w:rsid w:val="002BCAC4"/>
    <w:rsid w:val="002C0288"/>
    <w:rsid w:val="002C0855"/>
    <w:rsid w:val="002C0CEF"/>
    <w:rsid w:val="002C16AF"/>
    <w:rsid w:val="002C1BFA"/>
    <w:rsid w:val="002C2645"/>
    <w:rsid w:val="002C27CF"/>
    <w:rsid w:val="002C27DA"/>
    <w:rsid w:val="002C358E"/>
    <w:rsid w:val="002C5611"/>
    <w:rsid w:val="002C56EA"/>
    <w:rsid w:val="002C579B"/>
    <w:rsid w:val="002C58C0"/>
    <w:rsid w:val="002C5A00"/>
    <w:rsid w:val="002C5F75"/>
    <w:rsid w:val="002C618F"/>
    <w:rsid w:val="002C68EA"/>
    <w:rsid w:val="002C7050"/>
    <w:rsid w:val="002C7231"/>
    <w:rsid w:val="002C7DE5"/>
    <w:rsid w:val="002C7FE3"/>
    <w:rsid w:val="002D0ECC"/>
    <w:rsid w:val="002D1160"/>
    <w:rsid w:val="002D1168"/>
    <w:rsid w:val="002D1D27"/>
    <w:rsid w:val="002D1E54"/>
    <w:rsid w:val="002D2552"/>
    <w:rsid w:val="002D27F5"/>
    <w:rsid w:val="002D29F4"/>
    <w:rsid w:val="002D30DC"/>
    <w:rsid w:val="002D3820"/>
    <w:rsid w:val="002D38B7"/>
    <w:rsid w:val="002D3ACC"/>
    <w:rsid w:val="002D40F6"/>
    <w:rsid w:val="002D4AE7"/>
    <w:rsid w:val="002D4DFA"/>
    <w:rsid w:val="002D55D1"/>
    <w:rsid w:val="002D5715"/>
    <w:rsid w:val="002D5845"/>
    <w:rsid w:val="002D58CE"/>
    <w:rsid w:val="002D6000"/>
    <w:rsid w:val="002D6EF2"/>
    <w:rsid w:val="002D7696"/>
    <w:rsid w:val="002D7698"/>
    <w:rsid w:val="002E01A1"/>
    <w:rsid w:val="002E025F"/>
    <w:rsid w:val="002E0BF2"/>
    <w:rsid w:val="002E169B"/>
    <w:rsid w:val="002E1AFD"/>
    <w:rsid w:val="002E244A"/>
    <w:rsid w:val="002E26A7"/>
    <w:rsid w:val="002E3219"/>
    <w:rsid w:val="002E4115"/>
    <w:rsid w:val="002E4138"/>
    <w:rsid w:val="002E548A"/>
    <w:rsid w:val="002E5522"/>
    <w:rsid w:val="002E5915"/>
    <w:rsid w:val="002E5A5D"/>
    <w:rsid w:val="002E5D6E"/>
    <w:rsid w:val="002E6A86"/>
    <w:rsid w:val="002E772F"/>
    <w:rsid w:val="002F001F"/>
    <w:rsid w:val="002F03CF"/>
    <w:rsid w:val="002F08B6"/>
    <w:rsid w:val="002F0BB5"/>
    <w:rsid w:val="002F0F7D"/>
    <w:rsid w:val="002F1380"/>
    <w:rsid w:val="002F1477"/>
    <w:rsid w:val="002F16F4"/>
    <w:rsid w:val="002F1FDB"/>
    <w:rsid w:val="002F208D"/>
    <w:rsid w:val="002F2130"/>
    <w:rsid w:val="002F21C7"/>
    <w:rsid w:val="002F26AB"/>
    <w:rsid w:val="002F2E4E"/>
    <w:rsid w:val="002F2F30"/>
    <w:rsid w:val="002F2FC1"/>
    <w:rsid w:val="002F3722"/>
    <w:rsid w:val="002F4034"/>
    <w:rsid w:val="002F40FE"/>
    <w:rsid w:val="002F46B3"/>
    <w:rsid w:val="002F4F25"/>
    <w:rsid w:val="002F546D"/>
    <w:rsid w:val="002F61DA"/>
    <w:rsid w:val="002F63DC"/>
    <w:rsid w:val="002F6EF0"/>
    <w:rsid w:val="003009C1"/>
    <w:rsid w:val="00300CDF"/>
    <w:rsid w:val="00301108"/>
    <w:rsid w:val="00301EE2"/>
    <w:rsid w:val="00302A34"/>
    <w:rsid w:val="00302E21"/>
    <w:rsid w:val="00302EDB"/>
    <w:rsid w:val="003032E9"/>
    <w:rsid w:val="00304110"/>
    <w:rsid w:val="003044C9"/>
    <w:rsid w:val="0030475E"/>
    <w:rsid w:val="00305171"/>
    <w:rsid w:val="003053DF"/>
    <w:rsid w:val="003056AC"/>
    <w:rsid w:val="00307780"/>
    <w:rsid w:val="00310089"/>
    <w:rsid w:val="00311009"/>
    <w:rsid w:val="0031156B"/>
    <w:rsid w:val="003118CD"/>
    <w:rsid w:val="003121A4"/>
    <w:rsid w:val="00312653"/>
    <w:rsid w:val="003130D7"/>
    <w:rsid w:val="003137F1"/>
    <w:rsid w:val="00313D0F"/>
    <w:rsid w:val="00313EEE"/>
    <w:rsid w:val="00314240"/>
    <w:rsid w:val="003142D0"/>
    <w:rsid w:val="003149E6"/>
    <w:rsid w:val="003153F3"/>
    <w:rsid w:val="00315AB4"/>
    <w:rsid w:val="00316ACE"/>
    <w:rsid w:val="00316D9F"/>
    <w:rsid w:val="00317006"/>
    <w:rsid w:val="00317083"/>
    <w:rsid w:val="00317A7A"/>
    <w:rsid w:val="00317CD1"/>
    <w:rsid w:val="0032003B"/>
    <w:rsid w:val="00320567"/>
    <w:rsid w:val="00320891"/>
    <w:rsid w:val="003210BC"/>
    <w:rsid w:val="00321ECF"/>
    <w:rsid w:val="0032258A"/>
    <w:rsid w:val="00322983"/>
    <w:rsid w:val="00322A81"/>
    <w:rsid w:val="00322D04"/>
    <w:rsid w:val="00322F0B"/>
    <w:rsid w:val="003237BD"/>
    <w:rsid w:val="00323EC5"/>
    <w:rsid w:val="00324DFC"/>
    <w:rsid w:val="00324E0C"/>
    <w:rsid w:val="0032600E"/>
    <w:rsid w:val="0032686F"/>
    <w:rsid w:val="00326AA8"/>
    <w:rsid w:val="00327417"/>
    <w:rsid w:val="00327C00"/>
    <w:rsid w:val="00327C68"/>
    <w:rsid w:val="003300C8"/>
    <w:rsid w:val="00330851"/>
    <w:rsid w:val="00330C47"/>
    <w:rsid w:val="003314C8"/>
    <w:rsid w:val="00331A17"/>
    <w:rsid w:val="00331F55"/>
    <w:rsid w:val="00332237"/>
    <w:rsid w:val="00332866"/>
    <w:rsid w:val="00332ABE"/>
    <w:rsid w:val="00332C57"/>
    <w:rsid w:val="00333597"/>
    <w:rsid w:val="00333D43"/>
    <w:rsid w:val="003340F6"/>
    <w:rsid w:val="003343F7"/>
    <w:rsid w:val="00334C61"/>
    <w:rsid w:val="00334E97"/>
    <w:rsid w:val="00335576"/>
    <w:rsid w:val="00335D2C"/>
    <w:rsid w:val="00335F14"/>
    <w:rsid w:val="00336341"/>
    <w:rsid w:val="00336517"/>
    <w:rsid w:val="0033670E"/>
    <w:rsid w:val="003368DB"/>
    <w:rsid w:val="00336D23"/>
    <w:rsid w:val="00337084"/>
    <w:rsid w:val="00337866"/>
    <w:rsid w:val="00337872"/>
    <w:rsid w:val="00337E8B"/>
    <w:rsid w:val="003402BA"/>
    <w:rsid w:val="00340406"/>
    <w:rsid w:val="003404C8"/>
    <w:rsid w:val="00340A3E"/>
    <w:rsid w:val="00340F2E"/>
    <w:rsid w:val="00341304"/>
    <w:rsid w:val="003414A0"/>
    <w:rsid w:val="00341F04"/>
    <w:rsid w:val="0034213F"/>
    <w:rsid w:val="0034222D"/>
    <w:rsid w:val="003424AA"/>
    <w:rsid w:val="0034260F"/>
    <w:rsid w:val="003429FA"/>
    <w:rsid w:val="00342DD1"/>
    <w:rsid w:val="00343667"/>
    <w:rsid w:val="003436F8"/>
    <w:rsid w:val="003440A7"/>
    <w:rsid w:val="00344367"/>
    <w:rsid w:val="00344990"/>
    <w:rsid w:val="003457FE"/>
    <w:rsid w:val="00346418"/>
    <w:rsid w:val="0034680A"/>
    <w:rsid w:val="003471EB"/>
    <w:rsid w:val="0034732D"/>
    <w:rsid w:val="0034787A"/>
    <w:rsid w:val="00347AC4"/>
    <w:rsid w:val="00347B24"/>
    <w:rsid w:val="00347DCC"/>
    <w:rsid w:val="00347E9E"/>
    <w:rsid w:val="00350A84"/>
    <w:rsid w:val="00350C89"/>
    <w:rsid w:val="00350E93"/>
    <w:rsid w:val="00351823"/>
    <w:rsid w:val="00351842"/>
    <w:rsid w:val="00352CBC"/>
    <w:rsid w:val="0035392F"/>
    <w:rsid w:val="00353A25"/>
    <w:rsid w:val="003549C5"/>
    <w:rsid w:val="00354D63"/>
    <w:rsid w:val="00354EA0"/>
    <w:rsid w:val="003551C1"/>
    <w:rsid w:val="00355B6C"/>
    <w:rsid w:val="003561E0"/>
    <w:rsid w:val="00356EE7"/>
    <w:rsid w:val="00357104"/>
    <w:rsid w:val="003576D2"/>
    <w:rsid w:val="0035792E"/>
    <w:rsid w:val="00357A40"/>
    <w:rsid w:val="00357B8C"/>
    <w:rsid w:val="0036041D"/>
    <w:rsid w:val="0036052E"/>
    <w:rsid w:val="00360CD1"/>
    <w:rsid w:val="00362327"/>
    <w:rsid w:val="00362697"/>
    <w:rsid w:val="00362BDB"/>
    <w:rsid w:val="00362E96"/>
    <w:rsid w:val="003634F3"/>
    <w:rsid w:val="00363717"/>
    <w:rsid w:val="00363A8A"/>
    <w:rsid w:val="00363C0D"/>
    <w:rsid w:val="00363FF8"/>
    <w:rsid w:val="003648D7"/>
    <w:rsid w:val="00365AD8"/>
    <w:rsid w:val="00365D81"/>
    <w:rsid w:val="0036609E"/>
    <w:rsid w:val="00366774"/>
    <w:rsid w:val="00366A32"/>
    <w:rsid w:val="00366C15"/>
    <w:rsid w:val="003704E9"/>
    <w:rsid w:val="00370577"/>
    <w:rsid w:val="003706A9"/>
    <w:rsid w:val="0037075B"/>
    <w:rsid w:val="0037084D"/>
    <w:rsid w:val="003708AF"/>
    <w:rsid w:val="003723B2"/>
    <w:rsid w:val="00372B81"/>
    <w:rsid w:val="00372DF1"/>
    <w:rsid w:val="00373B5C"/>
    <w:rsid w:val="00373DB0"/>
    <w:rsid w:val="0037474F"/>
    <w:rsid w:val="00374C11"/>
    <w:rsid w:val="00375915"/>
    <w:rsid w:val="00375ED9"/>
    <w:rsid w:val="0037671E"/>
    <w:rsid w:val="00376FE9"/>
    <w:rsid w:val="0037721D"/>
    <w:rsid w:val="00377505"/>
    <w:rsid w:val="00380128"/>
    <w:rsid w:val="0038102A"/>
    <w:rsid w:val="003815E9"/>
    <w:rsid w:val="00382216"/>
    <w:rsid w:val="0038227C"/>
    <w:rsid w:val="0038362C"/>
    <w:rsid w:val="0038381C"/>
    <w:rsid w:val="00383833"/>
    <w:rsid w:val="00384EB9"/>
    <w:rsid w:val="00385900"/>
    <w:rsid w:val="00385AB9"/>
    <w:rsid w:val="00385B42"/>
    <w:rsid w:val="0038644D"/>
    <w:rsid w:val="003864A5"/>
    <w:rsid w:val="00386729"/>
    <w:rsid w:val="00386A84"/>
    <w:rsid w:val="00386F66"/>
    <w:rsid w:val="0038745A"/>
    <w:rsid w:val="0038758B"/>
    <w:rsid w:val="00387E28"/>
    <w:rsid w:val="00390560"/>
    <w:rsid w:val="00391124"/>
    <w:rsid w:val="0039147D"/>
    <w:rsid w:val="00391872"/>
    <w:rsid w:val="003921ED"/>
    <w:rsid w:val="00392CAB"/>
    <w:rsid w:val="00392E94"/>
    <w:rsid w:val="003932A8"/>
    <w:rsid w:val="00393749"/>
    <w:rsid w:val="003938B4"/>
    <w:rsid w:val="00393C53"/>
    <w:rsid w:val="00393D20"/>
    <w:rsid w:val="003943EC"/>
    <w:rsid w:val="00394708"/>
    <w:rsid w:val="003947F0"/>
    <w:rsid w:val="00394851"/>
    <w:rsid w:val="00394B3F"/>
    <w:rsid w:val="00394E3F"/>
    <w:rsid w:val="0039595C"/>
    <w:rsid w:val="00395E42"/>
    <w:rsid w:val="0039740F"/>
    <w:rsid w:val="00397AB4"/>
    <w:rsid w:val="003A065A"/>
    <w:rsid w:val="003A10C1"/>
    <w:rsid w:val="003A117A"/>
    <w:rsid w:val="003A175F"/>
    <w:rsid w:val="003A18A9"/>
    <w:rsid w:val="003A1DF2"/>
    <w:rsid w:val="003A2AFC"/>
    <w:rsid w:val="003A3661"/>
    <w:rsid w:val="003A3DD7"/>
    <w:rsid w:val="003A4E0A"/>
    <w:rsid w:val="003A4E64"/>
    <w:rsid w:val="003A4FB0"/>
    <w:rsid w:val="003A5032"/>
    <w:rsid w:val="003A50DB"/>
    <w:rsid w:val="003A5883"/>
    <w:rsid w:val="003A5AB1"/>
    <w:rsid w:val="003A6E4B"/>
    <w:rsid w:val="003B07EC"/>
    <w:rsid w:val="003B089D"/>
    <w:rsid w:val="003B0966"/>
    <w:rsid w:val="003B0F04"/>
    <w:rsid w:val="003B12E3"/>
    <w:rsid w:val="003B149C"/>
    <w:rsid w:val="003B1E52"/>
    <w:rsid w:val="003B215D"/>
    <w:rsid w:val="003B2735"/>
    <w:rsid w:val="003B3234"/>
    <w:rsid w:val="003B3FF6"/>
    <w:rsid w:val="003B4112"/>
    <w:rsid w:val="003B4D96"/>
    <w:rsid w:val="003B4ED8"/>
    <w:rsid w:val="003B5379"/>
    <w:rsid w:val="003B5A69"/>
    <w:rsid w:val="003B5E46"/>
    <w:rsid w:val="003B6241"/>
    <w:rsid w:val="003B62EB"/>
    <w:rsid w:val="003B64E0"/>
    <w:rsid w:val="003B6848"/>
    <w:rsid w:val="003B6E5B"/>
    <w:rsid w:val="003B701C"/>
    <w:rsid w:val="003B761F"/>
    <w:rsid w:val="003B79B4"/>
    <w:rsid w:val="003B7ABB"/>
    <w:rsid w:val="003C0170"/>
    <w:rsid w:val="003C03CF"/>
    <w:rsid w:val="003C11ED"/>
    <w:rsid w:val="003C123A"/>
    <w:rsid w:val="003C1240"/>
    <w:rsid w:val="003C1586"/>
    <w:rsid w:val="003C188E"/>
    <w:rsid w:val="003C2081"/>
    <w:rsid w:val="003C2EDB"/>
    <w:rsid w:val="003C2F53"/>
    <w:rsid w:val="003C350D"/>
    <w:rsid w:val="003C3695"/>
    <w:rsid w:val="003C371A"/>
    <w:rsid w:val="003C4479"/>
    <w:rsid w:val="003C46E1"/>
    <w:rsid w:val="003C48FD"/>
    <w:rsid w:val="003C4BC8"/>
    <w:rsid w:val="003C532C"/>
    <w:rsid w:val="003C576D"/>
    <w:rsid w:val="003C6AA4"/>
    <w:rsid w:val="003C6BFE"/>
    <w:rsid w:val="003C6CFF"/>
    <w:rsid w:val="003C6E50"/>
    <w:rsid w:val="003C7C83"/>
    <w:rsid w:val="003D0C19"/>
    <w:rsid w:val="003D0DE8"/>
    <w:rsid w:val="003D195C"/>
    <w:rsid w:val="003D203C"/>
    <w:rsid w:val="003D22E0"/>
    <w:rsid w:val="003D23A3"/>
    <w:rsid w:val="003D2BB0"/>
    <w:rsid w:val="003D30E3"/>
    <w:rsid w:val="003D3683"/>
    <w:rsid w:val="003D5471"/>
    <w:rsid w:val="003D5856"/>
    <w:rsid w:val="003D5E42"/>
    <w:rsid w:val="003D5F97"/>
    <w:rsid w:val="003D6565"/>
    <w:rsid w:val="003D672B"/>
    <w:rsid w:val="003D694A"/>
    <w:rsid w:val="003D6F41"/>
    <w:rsid w:val="003D7CAF"/>
    <w:rsid w:val="003D7E93"/>
    <w:rsid w:val="003E0781"/>
    <w:rsid w:val="003E09D6"/>
    <w:rsid w:val="003E12C8"/>
    <w:rsid w:val="003E1672"/>
    <w:rsid w:val="003E16EE"/>
    <w:rsid w:val="003E1B2C"/>
    <w:rsid w:val="003E2207"/>
    <w:rsid w:val="003E2611"/>
    <w:rsid w:val="003E2852"/>
    <w:rsid w:val="003E28C1"/>
    <w:rsid w:val="003E3451"/>
    <w:rsid w:val="003E34C1"/>
    <w:rsid w:val="003E3E45"/>
    <w:rsid w:val="003E41BF"/>
    <w:rsid w:val="003E44D4"/>
    <w:rsid w:val="003E4965"/>
    <w:rsid w:val="003E4AE4"/>
    <w:rsid w:val="003E4CF7"/>
    <w:rsid w:val="003E4EA6"/>
    <w:rsid w:val="003E50D2"/>
    <w:rsid w:val="003E52FC"/>
    <w:rsid w:val="003E53BD"/>
    <w:rsid w:val="003E6868"/>
    <w:rsid w:val="003E6EEB"/>
    <w:rsid w:val="003E7262"/>
    <w:rsid w:val="003E731D"/>
    <w:rsid w:val="003E7BE8"/>
    <w:rsid w:val="003E7E4A"/>
    <w:rsid w:val="003F068B"/>
    <w:rsid w:val="003F0750"/>
    <w:rsid w:val="003F0A63"/>
    <w:rsid w:val="003F0B5C"/>
    <w:rsid w:val="003F1127"/>
    <w:rsid w:val="003F14E9"/>
    <w:rsid w:val="003F19DD"/>
    <w:rsid w:val="003F1D9D"/>
    <w:rsid w:val="003F2C01"/>
    <w:rsid w:val="003F2DB9"/>
    <w:rsid w:val="003F2F5C"/>
    <w:rsid w:val="003F3015"/>
    <w:rsid w:val="003F344E"/>
    <w:rsid w:val="003F39EE"/>
    <w:rsid w:val="003F3EE7"/>
    <w:rsid w:val="003F5541"/>
    <w:rsid w:val="003F5840"/>
    <w:rsid w:val="003F5EBC"/>
    <w:rsid w:val="003F67AD"/>
    <w:rsid w:val="003F6E8A"/>
    <w:rsid w:val="003F7815"/>
    <w:rsid w:val="003F7EED"/>
    <w:rsid w:val="00400081"/>
    <w:rsid w:val="004008C9"/>
    <w:rsid w:val="00400F94"/>
    <w:rsid w:val="004013AA"/>
    <w:rsid w:val="00401BED"/>
    <w:rsid w:val="00401D58"/>
    <w:rsid w:val="004021E8"/>
    <w:rsid w:val="00402597"/>
    <w:rsid w:val="00402B02"/>
    <w:rsid w:val="00403216"/>
    <w:rsid w:val="004035F0"/>
    <w:rsid w:val="00403B8E"/>
    <w:rsid w:val="00403EA3"/>
    <w:rsid w:val="0040452F"/>
    <w:rsid w:val="00404D63"/>
    <w:rsid w:val="00404E4F"/>
    <w:rsid w:val="00404FC7"/>
    <w:rsid w:val="00404FC8"/>
    <w:rsid w:val="004056B3"/>
    <w:rsid w:val="0040576D"/>
    <w:rsid w:val="00406005"/>
    <w:rsid w:val="00406140"/>
    <w:rsid w:val="00406CCE"/>
    <w:rsid w:val="004074DE"/>
    <w:rsid w:val="004076C6"/>
    <w:rsid w:val="00407899"/>
    <w:rsid w:val="004079CF"/>
    <w:rsid w:val="00407EC1"/>
    <w:rsid w:val="004106F4"/>
    <w:rsid w:val="004110E7"/>
    <w:rsid w:val="0041132A"/>
    <w:rsid w:val="00411FEC"/>
    <w:rsid w:val="004129B6"/>
    <w:rsid w:val="00414C5F"/>
    <w:rsid w:val="00415410"/>
    <w:rsid w:val="00415CA4"/>
    <w:rsid w:val="004161E1"/>
    <w:rsid w:val="004168A7"/>
    <w:rsid w:val="004168B7"/>
    <w:rsid w:val="0041691C"/>
    <w:rsid w:val="00416A54"/>
    <w:rsid w:val="00416C43"/>
    <w:rsid w:val="0041746E"/>
    <w:rsid w:val="00417749"/>
    <w:rsid w:val="00417B48"/>
    <w:rsid w:val="004201C7"/>
    <w:rsid w:val="00420388"/>
    <w:rsid w:val="00420511"/>
    <w:rsid w:val="004216AA"/>
    <w:rsid w:val="004217BC"/>
    <w:rsid w:val="00421979"/>
    <w:rsid w:val="00421ED0"/>
    <w:rsid w:val="004221FC"/>
    <w:rsid w:val="004226FB"/>
    <w:rsid w:val="004232E7"/>
    <w:rsid w:val="0042339A"/>
    <w:rsid w:val="0042381F"/>
    <w:rsid w:val="00423916"/>
    <w:rsid w:val="00424107"/>
    <w:rsid w:val="0042414B"/>
    <w:rsid w:val="00424A6F"/>
    <w:rsid w:val="00424B18"/>
    <w:rsid w:val="00424C78"/>
    <w:rsid w:val="00424F75"/>
    <w:rsid w:val="0042508F"/>
    <w:rsid w:val="00425260"/>
    <w:rsid w:val="00425415"/>
    <w:rsid w:val="00425622"/>
    <w:rsid w:val="0042588E"/>
    <w:rsid w:val="0042638E"/>
    <w:rsid w:val="0042639C"/>
    <w:rsid w:val="00426563"/>
    <w:rsid w:val="004269D0"/>
    <w:rsid w:val="00426F07"/>
    <w:rsid w:val="00427B33"/>
    <w:rsid w:val="00427B4D"/>
    <w:rsid w:val="0043086D"/>
    <w:rsid w:val="00430C5E"/>
    <w:rsid w:val="0043100F"/>
    <w:rsid w:val="00431086"/>
    <w:rsid w:val="0043108E"/>
    <w:rsid w:val="004310D9"/>
    <w:rsid w:val="004318DE"/>
    <w:rsid w:val="0043211E"/>
    <w:rsid w:val="004321A8"/>
    <w:rsid w:val="00432313"/>
    <w:rsid w:val="00432690"/>
    <w:rsid w:val="00432C9B"/>
    <w:rsid w:val="00432EF6"/>
    <w:rsid w:val="00434E32"/>
    <w:rsid w:val="00435477"/>
    <w:rsid w:val="0043574A"/>
    <w:rsid w:val="0043575F"/>
    <w:rsid w:val="0043578F"/>
    <w:rsid w:val="00435BD7"/>
    <w:rsid w:val="004360D3"/>
    <w:rsid w:val="00437343"/>
    <w:rsid w:val="004375E9"/>
    <w:rsid w:val="0043798F"/>
    <w:rsid w:val="00440412"/>
    <w:rsid w:val="0044056A"/>
    <w:rsid w:val="00440EB3"/>
    <w:rsid w:val="004412EE"/>
    <w:rsid w:val="00441626"/>
    <w:rsid w:val="004417ED"/>
    <w:rsid w:val="00441992"/>
    <w:rsid w:val="00441F49"/>
    <w:rsid w:val="004420A2"/>
    <w:rsid w:val="004426C0"/>
    <w:rsid w:val="00442CF2"/>
    <w:rsid w:val="004431BE"/>
    <w:rsid w:val="004432DC"/>
    <w:rsid w:val="004434C5"/>
    <w:rsid w:val="00443767"/>
    <w:rsid w:val="00443AA0"/>
    <w:rsid w:val="00443AAD"/>
    <w:rsid w:val="00443C0D"/>
    <w:rsid w:val="00445159"/>
    <w:rsid w:val="00445D3D"/>
    <w:rsid w:val="00445EE2"/>
    <w:rsid w:val="004469DC"/>
    <w:rsid w:val="00446E01"/>
    <w:rsid w:val="00446FED"/>
    <w:rsid w:val="004473BC"/>
    <w:rsid w:val="00447873"/>
    <w:rsid w:val="00450D91"/>
    <w:rsid w:val="00451052"/>
    <w:rsid w:val="004511F3"/>
    <w:rsid w:val="00451464"/>
    <w:rsid w:val="00451473"/>
    <w:rsid w:val="0045158D"/>
    <w:rsid w:val="004518F5"/>
    <w:rsid w:val="00451CBD"/>
    <w:rsid w:val="0045373A"/>
    <w:rsid w:val="00453BB7"/>
    <w:rsid w:val="00453C3C"/>
    <w:rsid w:val="004540B2"/>
    <w:rsid w:val="0045412F"/>
    <w:rsid w:val="0045418E"/>
    <w:rsid w:val="004541A6"/>
    <w:rsid w:val="004543E4"/>
    <w:rsid w:val="0045447A"/>
    <w:rsid w:val="00454D46"/>
    <w:rsid w:val="00454F4C"/>
    <w:rsid w:val="0045504F"/>
    <w:rsid w:val="004555B0"/>
    <w:rsid w:val="004556FD"/>
    <w:rsid w:val="00455FE4"/>
    <w:rsid w:val="00456717"/>
    <w:rsid w:val="00456DC4"/>
    <w:rsid w:val="00457104"/>
    <w:rsid w:val="004577DA"/>
    <w:rsid w:val="004579F9"/>
    <w:rsid w:val="0046019B"/>
    <w:rsid w:val="004604C9"/>
    <w:rsid w:val="00460705"/>
    <w:rsid w:val="0046086A"/>
    <w:rsid w:val="00460EBD"/>
    <w:rsid w:val="004617D8"/>
    <w:rsid w:val="00461B90"/>
    <w:rsid w:val="00461FFF"/>
    <w:rsid w:val="0046219B"/>
    <w:rsid w:val="004621C2"/>
    <w:rsid w:val="0046253D"/>
    <w:rsid w:val="004634AC"/>
    <w:rsid w:val="004635FD"/>
    <w:rsid w:val="004636AE"/>
    <w:rsid w:val="004637D5"/>
    <w:rsid w:val="00463F16"/>
    <w:rsid w:val="004649A9"/>
    <w:rsid w:val="00464B89"/>
    <w:rsid w:val="00464CA0"/>
    <w:rsid w:val="00464F63"/>
    <w:rsid w:val="004651D1"/>
    <w:rsid w:val="0046527D"/>
    <w:rsid w:val="004658B6"/>
    <w:rsid w:val="00465906"/>
    <w:rsid w:val="00467BAF"/>
    <w:rsid w:val="00467EAD"/>
    <w:rsid w:val="004705C9"/>
    <w:rsid w:val="00472CDA"/>
    <w:rsid w:val="00473655"/>
    <w:rsid w:val="00473C89"/>
    <w:rsid w:val="004743D6"/>
    <w:rsid w:val="00475811"/>
    <w:rsid w:val="00475C77"/>
    <w:rsid w:val="00476374"/>
    <w:rsid w:val="0047667B"/>
    <w:rsid w:val="00476740"/>
    <w:rsid w:val="00477297"/>
    <w:rsid w:val="004777C0"/>
    <w:rsid w:val="00477C9D"/>
    <w:rsid w:val="00477D14"/>
    <w:rsid w:val="00477E97"/>
    <w:rsid w:val="0048028D"/>
    <w:rsid w:val="00480673"/>
    <w:rsid w:val="004808CD"/>
    <w:rsid w:val="00480979"/>
    <w:rsid w:val="00480C56"/>
    <w:rsid w:val="004831CC"/>
    <w:rsid w:val="00483D9A"/>
    <w:rsid w:val="00483EA3"/>
    <w:rsid w:val="00485178"/>
    <w:rsid w:val="0048543F"/>
    <w:rsid w:val="00485F3F"/>
    <w:rsid w:val="00486183"/>
    <w:rsid w:val="00486668"/>
    <w:rsid w:val="00486E6A"/>
    <w:rsid w:val="00486F10"/>
    <w:rsid w:val="00486FC1"/>
    <w:rsid w:val="00487228"/>
    <w:rsid w:val="00487615"/>
    <w:rsid w:val="0049051E"/>
    <w:rsid w:val="004906A4"/>
    <w:rsid w:val="004907B8"/>
    <w:rsid w:val="00491320"/>
    <w:rsid w:val="004914D9"/>
    <w:rsid w:val="0049157D"/>
    <w:rsid w:val="00491808"/>
    <w:rsid w:val="00491C81"/>
    <w:rsid w:val="00491C91"/>
    <w:rsid w:val="00491FCD"/>
    <w:rsid w:val="00492161"/>
    <w:rsid w:val="00492DB4"/>
    <w:rsid w:val="00493158"/>
    <w:rsid w:val="004931ED"/>
    <w:rsid w:val="00493E23"/>
    <w:rsid w:val="00493F8D"/>
    <w:rsid w:val="0049441C"/>
    <w:rsid w:val="00494903"/>
    <w:rsid w:val="00494A2B"/>
    <w:rsid w:val="00494A6A"/>
    <w:rsid w:val="0049582F"/>
    <w:rsid w:val="00495B21"/>
    <w:rsid w:val="00495BF4"/>
    <w:rsid w:val="004961CD"/>
    <w:rsid w:val="00496C27"/>
    <w:rsid w:val="00496C90"/>
    <w:rsid w:val="00497309"/>
    <w:rsid w:val="00497363"/>
    <w:rsid w:val="00497B72"/>
    <w:rsid w:val="004A0620"/>
    <w:rsid w:val="004A0F31"/>
    <w:rsid w:val="004A146A"/>
    <w:rsid w:val="004A166E"/>
    <w:rsid w:val="004A23D3"/>
    <w:rsid w:val="004A240A"/>
    <w:rsid w:val="004A242E"/>
    <w:rsid w:val="004A378E"/>
    <w:rsid w:val="004A4A90"/>
    <w:rsid w:val="004A4CF7"/>
    <w:rsid w:val="004A52C8"/>
    <w:rsid w:val="004A5A4E"/>
    <w:rsid w:val="004A5CF8"/>
    <w:rsid w:val="004A6250"/>
    <w:rsid w:val="004A64EC"/>
    <w:rsid w:val="004A67FB"/>
    <w:rsid w:val="004A74B2"/>
    <w:rsid w:val="004A7E75"/>
    <w:rsid w:val="004B0348"/>
    <w:rsid w:val="004B0410"/>
    <w:rsid w:val="004B06EE"/>
    <w:rsid w:val="004B0C16"/>
    <w:rsid w:val="004B0E9B"/>
    <w:rsid w:val="004B1601"/>
    <w:rsid w:val="004B282F"/>
    <w:rsid w:val="004B2FCB"/>
    <w:rsid w:val="004B3229"/>
    <w:rsid w:val="004B360E"/>
    <w:rsid w:val="004B3A57"/>
    <w:rsid w:val="004B3F0D"/>
    <w:rsid w:val="004B432B"/>
    <w:rsid w:val="004B5BAD"/>
    <w:rsid w:val="004B5D1E"/>
    <w:rsid w:val="004B6097"/>
    <w:rsid w:val="004B609E"/>
    <w:rsid w:val="004B621A"/>
    <w:rsid w:val="004B622A"/>
    <w:rsid w:val="004B6C62"/>
    <w:rsid w:val="004B7317"/>
    <w:rsid w:val="004B77C3"/>
    <w:rsid w:val="004B7AB0"/>
    <w:rsid w:val="004C022F"/>
    <w:rsid w:val="004C08C7"/>
    <w:rsid w:val="004C0D7F"/>
    <w:rsid w:val="004C0F57"/>
    <w:rsid w:val="004C112F"/>
    <w:rsid w:val="004C1B66"/>
    <w:rsid w:val="004C1B8D"/>
    <w:rsid w:val="004C1C7B"/>
    <w:rsid w:val="004C1E1D"/>
    <w:rsid w:val="004C211C"/>
    <w:rsid w:val="004C2E15"/>
    <w:rsid w:val="004C2F05"/>
    <w:rsid w:val="004C32AF"/>
    <w:rsid w:val="004C3BFD"/>
    <w:rsid w:val="004C44AF"/>
    <w:rsid w:val="004C5C6F"/>
    <w:rsid w:val="004C5FEF"/>
    <w:rsid w:val="004C6B2A"/>
    <w:rsid w:val="004C6F0D"/>
    <w:rsid w:val="004C6F10"/>
    <w:rsid w:val="004C7149"/>
    <w:rsid w:val="004C757B"/>
    <w:rsid w:val="004C78DB"/>
    <w:rsid w:val="004D03A3"/>
    <w:rsid w:val="004D048A"/>
    <w:rsid w:val="004D0802"/>
    <w:rsid w:val="004D0C9B"/>
    <w:rsid w:val="004D0EF0"/>
    <w:rsid w:val="004D1474"/>
    <w:rsid w:val="004D149C"/>
    <w:rsid w:val="004D1EA4"/>
    <w:rsid w:val="004D2299"/>
    <w:rsid w:val="004D2C8E"/>
    <w:rsid w:val="004D2DB9"/>
    <w:rsid w:val="004D2F7C"/>
    <w:rsid w:val="004D362A"/>
    <w:rsid w:val="004D45FB"/>
    <w:rsid w:val="004D502A"/>
    <w:rsid w:val="004D5A76"/>
    <w:rsid w:val="004D5BCC"/>
    <w:rsid w:val="004D5CB8"/>
    <w:rsid w:val="004D62BE"/>
    <w:rsid w:val="004D6436"/>
    <w:rsid w:val="004D666F"/>
    <w:rsid w:val="004D672D"/>
    <w:rsid w:val="004D6C49"/>
    <w:rsid w:val="004D6F0C"/>
    <w:rsid w:val="004E004F"/>
    <w:rsid w:val="004E00D8"/>
    <w:rsid w:val="004E01D8"/>
    <w:rsid w:val="004E02A6"/>
    <w:rsid w:val="004E06AA"/>
    <w:rsid w:val="004E0833"/>
    <w:rsid w:val="004E0D59"/>
    <w:rsid w:val="004E0EFF"/>
    <w:rsid w:val="004E140D"/>
    <w:rsid w:val="004E1A1C"/>
    <w:rsid w:val="004E1AD4"/>
    <w:rsid w:val="004E2227"/>
    <w:rsid w:val="004E2341"/>
    <w:rsid w:val="004E25D9"/>
    <w:rsid w:val="004E28C6"/>
    <w:rsid w:val="004E2E1C"/>
    <w:rsid w:val="004E4003"/>
    <w:rsid w:val="004E422C"/>
    <w:rsid w:val="004E4362"/>
    <w:rsid w:val="004E508B"/>
    <w:rsid w:val="004E529A"/>
    <w:rsid w:val="004E575C"/>
    <w:rsid w:val="004E636C"/>
    <w:rsid w:val="004E64BF"/>
    <w:rsid w:val="004E666C"/>
    <w:rsid w:val="004E6906"/>
    <w:rsid w:val="004E6A29"/>
    <w:rsid w:val="004E6CBA"/>
    <w:rsid w:val="004E785D"/>
    <w:rsid w:val="004E7862"/>
    <w:rsid w:val="004E7B92"/>
    <w:rsid w:val="004F071C"/>
    <w:rsid w:val="004F138F"/>
    <w:rsid w:val="004F15C8"/>
    <w:rsid w:val="004F1759"/>
    <w:rsid w:val="004F2028"/>
    <w:rsid w:val="004F272F"/>
    <w:rsid w:val="004F2FD5"/>
    <w:rsid w:val="004F3163"/>
    <w:rsid w:val="004F42F5"/>
    <w:rsid w:val="004F45E1"/>
    <w:rsid w:val="004F5451"/>
    <w:rsid w:val="004F57AF"/>
    <w:rsid w:val="004F57C2"/>
    <w:rsid w:val="004F6146"/>
    <w:rsid w:val="004F6165"/>
    <w:rsid w:val="004F6308"/>
    <w:rsid w:val="004F63E2"/>
    <w:rsid w:val="004F6546"/>
    <w:rsid w:val="004F6B6C"/>
    <w:rsid w:val="004F6BF8"/>
    <w:rsid w:val="004F78E5"/>
    <w:rsid w:val="005007DD"/>
    <w:rsid w:val="00500A6E"/>
    <w:rsid w:val="00500E88"/>
    <w:rsid w:val="00500FDA"/>
    <w:rsid w:val="00501A2A"/>
    <w:rsid w:val="00501FA1"/>
    <w:rsid w:val="00504823"/>
    <w:rsid w:val="00504CB4"/>
    <w:rsid w:val="005057C8"/>
    <w:rsid w:val="005060E3"/>
    <w:rsid w:val="0050646D"/>
    <w:rsid w:val="0050670B"/>
    <w:rsid w:val="00506E22"/>
    <w:rsid w:val="00507294"/>
    <w:rsid w:val="00507300"/>
    <w:rsid w:val="005076BF"/>
    <w:rsid w:val="005101BC"/>
    <w:rsid w:val="005102EF"/>
    <w:rsid w:val="00510F2A"/>
    <w:rsid w:val="00511098"/>
    <w:rsid w:val="005112AD"/>
    <w:rsid w:val="00512BA3"/>
    <w:rsid w:val="00512BED"/>
    <w:rsid w:val="005130FB"/>
    <w:rsid w:val="00513B09"/>
    <w:rsid w:val="00513B96"/>
    <w:rsid w:val="00513D7D"/>
    <w:rsid w:val="005141E8"/>
    <w:rsid w:val="005147D4"/>
    <w:rsid w:val="0051496E"/>
    <w:rsid w:val="00514D98"/>
    <w:rsid w:val="00514DD5"/>
    <w:rsid w:val="00514DF9"/>
    <w:rsid w:val="00514E1E"/>
    <w:rsid w:val="00515565"/>
    <w:rsid w:val="0051604D"/>
    <w:rsid w:val="005161E9"/>
    <w:rsid w:val="005163F5"/>
    <w:rsid w:val="0051658A"/>
    <w:rsid w:val="00516C72"/>
    <w:rsid w:val="00516FE2"/>
    <w:rsid w:val="00517349"/>
    <w:rsid w:val="0051777F"/>
    <w:rsid w:val="00517A9B"/>
    <w:rsid w:val="00517BC4"/>
    <w:rsid w:val="00517C08"/>
    <w:rsid w:val="00517E61"/>
    <w:rsid w:val="005205FF"/>
    <w:rsid w:val="0052086E"/>
    <w:rsid w:val="00520AE1"/>
    <w:rsid w:val="00520EE7"/>
    <w:rsid w:val="00521072"/>
    <w:rsid w:val="005218ED"/>
    <w:rsid w:val="00521B4E"/>
    <w:rsid w:val="00521BCC"/>
    <w:rsid w:val="005225E6"/>
    <w:rsid w:val="00522646"/>
    <w:rsid w:val="0052294E"/>
    <w:rsid w:val="0052329D"/>
    <w:rsid w:val="0052395A"/>
    <w:rsid w:val="0052457F"/>
    <w:rsid w:val="00524FF5"/>
    <w:rsid w:val="00525166"/>
    <w:rsid w:val="0052528A"/>
    <w:rsid w:val="00525AE2"/>
    <w:rsid w:val="005263C7"/>
    <w:rsid w:val="005267D3"/>
    <w:rsid w:val="00526950"/>
    <w:rsid w:val="005269A9"/>
    <w:rsid w:val="005269C6"/>
    <w:rsid w:val="00526B1A"/>
    <w:rsid w:val="00526C9B"/>
    <w:rsid w:val="005272D7"/>
    <w:rsid w:val="0052780F"/>
    <w:rsid w:val="0053003B"/>
    <w:rsid w:val="0053060A"/>
    <w:rsid w:val="00530D42"/>
    <w:rsid w:val="00530E2D"/>
    <w:rsid w:val="0053103C"/>
    <w:rsid w:val="005310C1"/>
    <w:rsid w:val="00531338"/>
    <w:rsid w:val="0053153F"/>
    <w:rsid w:val="00531917"/>
    <w:rsid w:val="00531B67"/>
    <w:rsid w:val="00531CC1"/>
    <w:rsid w:val="00531FE8"/>
    <w:rsid w:val="005326FB"/>
    <w:rsid w:val="00532972"/>
    <w:rsid w:val="00532B5F"/>
    <w:rsid w:val="0053316B"/>
    <w:rsid w:val="005334A5"/>
    <w:rsid w:val="00533767"/>
    <w:rsid w:val="00533A45"/>
    <w:rsid w:val="00534292"/>
    <w:rsid w:val="005352F5"/>
    <w:rsid w:val="0053535F"/>
    <w:rsid w:val="00535420"/>
    <w:rsid w:val="005354F5"/>
    <w:rsid w:val="00535E65"/>
    <w:rsid w:val="00535EBA"/>
    <w:rsid w:val="00536029"/>
    <w:rsid w:val="0053644B"/>
    <w:rsid w:val="00536960"/>
    <w:rsid w:val="00536B2E"/>
    <w:rsid w:val="00536FBE"/>
    <w:rsid w:val="00536FD9"/>
    <w:rsid w:val="00537571"/>
    <w:rsid w:val="00537740"/>
    <w:rsid w:val="00537E03"/>
    <w:rsid w:val="00540CDB"/>
    <w:rsid w:val="00540FB4"/>
    <w:rsid w:val="0054211C"/>
    <w:rsid w:val="005424C7"/>
    <w:rsid w:val="0054256B"/>
    <w:rsid w:val="00542693"/>
    <w:rsid w:val="00542777"/>
    <w:rsid w:val="00542E9A"/>
    <w:rsid w:val="00543778"/>
    <w:rsid w:val="00544789"/>
    <w:rsid w:val="00545285"/>
    <w:rsid w:val="005462C6"/>
    <w:rsid w:val="005462D5"/>
    <w:rsid w:val="00546674"/>
    <w:rsid w:val="00547CC7"/>
    <w:rsid w:val="00550155"/>
    <w:rsid w:val="0055016F"/>
    <w:rsid w:val="0055024D"/>
    <w:rsid w:val="00550785"/>
    <w:rsid w:val="0055078D"/>
    <w:rsid w:val="00550C99"/>
    <w:rsid w:val="00550D11"/>
    <w:rsid w:val="00550E6E"/>
    <w:rsid w:val="0055132D"/>
    <w:rsid w:val="005519F1"/>
    <w:rsid w:val="00551CCD"/>
    <w:rsid w:val="00551E36"/>
    <w:rsid w:val="005522D6"/>
    <w:rsid w:val="00552D2C"/>
    <w:rsid w:val="00552F48"/>
    <w:rsid w:val="00552FA2"/>
    <w:rsid w:val="00553413"/>
    <w:rsid w:val="0055377F"/>
    <w:rsid w:val="005540DB"/>
    <w:rsid w:val="00554A2F"/>
    <w:rsid w:val="00554A4E"/>
    <w:rsid w:val="00554BDC"/>
    <w:rsid w:val="0055551A"/>
    <w:rsid w:val="00555683"/>
    <w:rsid w:val="0055576A"/>
    <w:rsid w:val="005557E5"/>
    <w:rsid w:val="00555841"/>
    <w:rsid w:val="005559E4"/>
    <w:rsid w:val="00555DC0"/>
    <w:rsid w:val="005565EF"/>
    <w:rsid w:val="0055685A"/>
    <w:rsid w:val="00556A49"/>
    <w:rsid w:val="00556A66"/>
    <w:rsid w:val="00556BB2"/>
    <w:rsid w:val="00556FC1"/>
    <w:rsid w:val="00557407"/>
    <w:rsid w:val="00557702"/>
    <w:rsid w:val="00557802"/>
    <w:rsid w:val="00557895"/>
    <w:rsid w:val="00557D8C"/>
    <w:rsid w:val="0056075A"/>
    <w:rsid w:val="00560794"/>
    <w:rsid w:val="0056088C"/>
    <w:rsid w:val="00560A83"/>
    <w:rsid w:val="00561131"/>
    <w:rsid w:val="00561D57"/>
    <w:rsid w:val="00561E59"/>
    <w:rsid w:val="00561E91"/>
    <w:rsid w:val="0056249A"/>
    <w:rsid w:val="005625C1"/>
    <w:rsid w:val="00562E5B"/>
    <w:rsid w:val="00562FF3"/>
    <w:rsid w:val="00563024"/>
    <w:rsid w:val="00564042"/>
    <w:rsid w:val="0056450E"/>
    <w:rsid w:val="0056460B"/>
    <w:rsid w:val="00564B74"/>
    <w:rsid w:val="00564DE5"/>
    <w:rsid w:val="00565DF9"/>
    <w:rsid w:val="00566282"/>
    <w:rsid w:val="0056632F"/>
    <w:rsid w:val="00566811"/>
    <w:rsid w:val="00566C33"/>
    <w:rsid w:val="005670A1"/>
    <w:rsid w:val="005671DF"/>
    <w:rsid w:val="00567EBB"/>
    <w:rsid w:val="00567EEF"/>
    <w:rsid w:val="00567F43"/>
    <w:rsid w:val="005705E9"/>
    <w:rsid w:val="00570715"/>
    <w:rsid w:val="00570A40"/>
    <w:rsid w:val="005713B1"/>
    <w:rsid w:val="0057243B"/>
    <w:rsid w:val="00573C34"/>
    <w:rsid w:val="00573E39"/>
    <w:rsid w:val="005753AE"/>
    <w:rsid w:val="0057616F"/>
    <w:rsid w:val="00576A98"/>
    <w:rsid w:val="00577387"/>
    <w:rsid w:val="0057764D"/>
    <w:rsid w:val="00577798"/>
    <w:rsid w:val="00580140"/>
    <w:rsid w:val="00580184"/>
    <w:rsid w:val="00580505"/>
    <w:rsid w:val="00580725"/>
    <w:rsid w:val="00580BFA"/>
    <w:rsid w:val="00581EF9"/>
    <w:rsid w:val="005820BB"/>
    <w:rsid w:val="005828C4"/>
    <w:rsid w:val="005830C2"/>
    <w:rsid w:val="0058311E"/>
    <w:rsid w:val="0058347D"/>
    <w:rsid w:val="0058369E"/>
    <w:rsid w:val="00583B5A"/>
    <w:rsid w:val="00584A7B"/>
    <w:rsid w:val="00584C7E"/>
    <w:rsid w:val="00585421"/>
    <w:rsid w:val="005856C3"/>
    <w:rsid w:val="00585FD0"/>
    <w:rsid w:val="005860D0"/>
    <w:rsid w:val="005863B5"/>
    <w:rsid w:val="005863C8"/>
    <w:rsid w:val="00586FD7"/>
    <w:rsid w:val="0058754E"/>
    <w:rsid w:val="00587CF3"/>
    <w:rsid w:val="0059042D"/>
    <w:rsid w:val="00590568"/>
    <w:rsid w:val="00590744"/>
    <w:rsid w:val="00590C31"/>
    <w:rsid w:val="00590E51"/>
    <w:rsid w:val="00591B64"/>
    <w:rsid w:val="00592004"/>
    <w:rsid w:val="0059201E"/>
    <w:rsid w:val="005922B0"/>
    <w:rsid w:val="005926F3"/>
    <w:rsid w:val="00592804"/>
    <w:rsid w:val="00592D7E"/>
    <w:rsid w:val="00593314"/>
    <w:rsid w:val="005933A6"/>
    <w:rsid w:val="00593539"/>
    <w:rsid w:val="005943C5"/>
    <w:rsid w:val="00594478"/>
    <w:rsid w:val="00594496"/>
    <w:rsid w:val="00594A27"/>
    <w:rsid w:val="00594A4A"/>
    <w:rsid w:val="005955E0"/>
    <w:rsid w:val="005962AC"/>
    <w:rsid w:val="005967B1"/>
    <w:rsid w:val="005967F3"/>
    <w:rsid w:val="00597B4F"/>
    <w:rsid w:val="005A0509"/>
    <w:rsid w:val="005A07FE"/>
    <w:rsid w:val="005A1A37"/>
    <w:rsid w:val="005A1EDE"/>
    <w:rsid w:val="005A2817"/>
    <w:rsid w:val="005A2A53"/>
    <w:rsid w:val="005A3286"/>
    <w:rsid w:val="005A36B7"/>
    <w:rsid w:val="005A3A30"/>
    <w:rsid w:val="005A3D6D"/>
    <w:rsid w:val="005A56C3"/>
    <w:rsid w:val="005A58A4"/>
    <w:rsid w:val="005A5B49"/>
    <w:rsid w:val="005A69D6"/>
    <w:rsid w:val="005A6B92"/>
    <w:rsid w:val="005A6BC4"/>
    <w:rsid w:val="005A755E"/>
    <w:rsid w:val="005A7C27"/>
    <w:rsid w:val="005A7E37"/>
    <w:rsid w:val="005B0095"/>
    <w:rsid w:val="005B0BB2"/>
    <w:rsid w:val="005B0BD2"/>
    <w:rsid w:val="005B0BEE"/>
    <w:rsid w:val="005B10F7"/>
    <w:rsid w:val="005B24DF"/>
    <w:rsid w:val="005B2C57"/>
    <w:rsid w:val="005B34A9"/>
    <w:rsid w:val="005B35ED"/>
    <w:rsid w:val="005B36D2"/>
    <w:rsid w:val="005B3855"/>
    <w:rsid w:val="005B3881"/>
    <w:rsid w:val="005B3E34"/>
    <w:rsid w:val="005B477B"/>
    <w:rsid w:val="005B4873"/>
    <w:rsid w:val="005B4D50"/>
    <w:rsid w:val="005B5948"/>
    <w:rsid w:val="005B63EC"/>
    <w:rsid w:val="005B6FB0"/>
    <w:rsid w:val="005B71DD"/>
    <w:rsid w:val="005B7626"/>
    <w:rsid w:val="005B77B9"/>
    <w:rsid w:val="005B7E64"/>
    <w:rsid w:val="005C0157"/>
    <w:rsid w:val="005C09B3"/>
    <w:rsid w:val="005C0C2B"/>
    <w:rsid w:val="005C0EBB"/>
    <w:rsid w:val="005C10E1"/>
    <w:rsid w:val="005C1B98"/>
    <w:rsid w:val="005C26C9"/>
    <w:rsid w:val="005C27D5"/>
    <w:rsid w:val="005C2834"/>
    <w:rsid w:val="005C2AE3"/>
    <w:rsid w:val="005C3DAB"/>
    <w:rsid w:val="005C3DCD"/>
    <w:rsid w:val="005C3F3E"/>
    <w:rsid w:val="005C3FCE"/>
    <w:rsid w:val="005C49F4"/>
    <w:rsid w:val="005C4CF9"/>
    <w:rsid w:val="005C56DE"/>
    <w:rsid w:val="005C59AD"/>
    <w:rsid w:val="005C5F77"/>
    <w:rsid w:val="005C64DD"/>
    <w:rsid w:val="005C6618"/>
    <w:rsid w:val="005C669B"/>
    <w:rsid w:val="005C706B"/>
    <w:rsid w:val="005C72F0"/>
    <w:rsid w:val="005C74AA"/>
    <w:rsid w:val="005D096D"/>
    <w:rsid w:val="005D0C39"/>
    <w:rsid w:val="005D0FA7"/>
    <w:rsid w:val="005D0FDA"/>
    <w:rsid w:val="005D1CF2"/>
    <w:rsid w:val="005D2A1A"/>
    <w:rsid w:val="005D2B81"/>
    <w:rsid w:val="005D2F12"/>
    <w:rsid w:val="005D3870"/>
    <w:rsid w:val="005D3B9F"/>
    <w:rsid w:val="005D3CB1"/>
    <w:rsid w:val="005D3E90"/>
    <w:rsid w:val="005D4F30"/>
    <w:rsid w:val="005D59EE"/>
    <w:rsid w:val="005D5AFE"/>
    <w:rsid w:val="005D6212"/>
    <w:rsid w:val="005D755E"/>
    <w:rsid w:val="005D7609"/>
    <w:rsid w:val="005D7B58"/>
    <w:rsid w:val="005D7FAA"/>
    <w:rsid w:val="005E11B6"/>
    <w:rsid w:val="005E1BD1"/>
    <w:rsid w:val="005E1D04"/>
    <w:rsid w:val="005E2057"/>
    <w:rsid w:val="005E29B4"/>
    <w:rsid w:val="005E3418"/>
    <w:rsid w:val="005E3E54"/>
    <w:rsid w:val="005E3FBB"/>
    <w:rsid w:val="005E50C0"/>
    <w:rsid w:val="005E510C"/>
    <w:rsid w:val="005E5382"/>
    <w:rsid w:val="005E55B4"/>
    <w:rsid w:val="005E57FF"/>
    <w:rsid w:val="005E593C"/>
    <w:rsid w:val="005E5CE2"/>
    <w:rsid w:val="005E616F"/>
    <w:rsid w:val="005E6679"/>
    <w:rsid w:val="005E6680"/>
    <w:rsid w:val="005E69CE"/>
    <w:rsid w:val="005E6EA8"/>
    <w:rsid w:val="005E6F4C"/>
    <w:rsid w:val="005E74BC"/>
    <w:rsid w:val="005E79CF"/>
    <w:rsid w:val="005F098E"/>
    <w:rsid w:val="005F10D4"/>
    <w:rsid w:val="005F1639"/>
    <w:rsid w:val="005F1989"/>
    <w:rsid w:val="005F2011"/>
    <w:rsid w:val="005F2854"/>
    <w:rsid w:val="005F3A23"/>
    <w:rsid w:val="005F3B68"/>
    <w:rsid w:val="005F3F15"/>
    <w:rsid w:val="005F43F5"/>
    <w:rsid w:val="005F4646"/>
    <w:rsid w:val="005F498D"/>
    <w:rsid w:val="005F554A"/>
    <w:rsid w:val="005F5A45"/>
    <w:rsid w:val="005F5F5E"/>
    <w:rsid w:val="005F6025"/>
    <w:rsid w:val="005F605C"/>
    <w:rsid w:val="005F640E"/>
    <w:rsid w:val="005F6D6B"/>
    <w:rsid w:val="005F78C9"/>
    <w:rsid w:val="0060010A"/>
    <w:rsid w:val="0060143F"/>
    <w:rsid w:val="006017ED"/>
    <w:rsid w:val="006020E6"/>
    <w:rsid w:val="006024BC"/>
    <w:rsid w:val="0060305C"/>
    <w:rsid w:val="00603060"/>
    <w:rsid w:val="0060369D"/>
    <w:rsid w:val="00603B22"/>
    <w:rsid w:val="00603C12"/>
    <w:rsid w:val="00603FD5"/>
    <w:rsid w:val="006041CA"/>
    <w:rsid w:val="00604417"/>
    <w:rsid w:val="006044C5"/>
    <w:rsid w:val="00604A34"/>
    <w:rsid w:val="006055D6"/>
    <w:rsid w:val="00605CB4"/>
    <w:rsid w:val="00606314"/>
    <w:rsid w:val="006069B9"/>
    <w:rsid w:val="00607743"/>
    <w:rsid w:val="00607CF2"/>
    <w:rsid w:val="00607EBE"/>
    <w:rsid w:val="0061054C"/>
    <w:rsid w:val="00610C33"/>
    <w:rsid w:val="0061155F"/>
    <w:rsid w:val="006116C1"/>
    <w:rsid w:val="00611C3F"/>
    <w:rsid w:val="006127A8"/>
    <w:rsid w:val="00612C4B"/>
    <w:rsid w:val="00612C5D"/>
    <w:rsid w:val="00612E49"/>
    <w:rsid w:val="00612EF9"/>
    <w:rsid w:val="006133E2"/>
    <w:rsid w:val="00613AB8"/>
    <w:rsid w:val="00613C2D"/>
    <w:rsid w:val="00613FAA"/>
    <w:rsid w:val="0061491F"/>
    <w:rsid w:val="00614E5D"/>
    <w:rsid w:val="00615CA2"/>
    <w:rsid w:val="00615CF1"/>
    <w:rsid w:val="0061627C"/>
    <w:rsid w:val="00616DC8"/>
    <w:rsid w:val="0061759D"/>
    <w:rsid w:val="006203FE"/>
    <w:rsid w:val="006210C6"/>
    <w:rsid w:val="0062114A"/>
    <w:rsid w:val="00621154"/>
    <w:rsid w:val="006213B1"/>
    <w:rsid w:val="006215B7"/>
    <w:rsid w:val="006217B6"/>
    <w:rsid w:val="006219F4"/>
    <w:rsid w:val="00622259"/>
    <w:rsid w:val="00622349"/>
    <w:rsid w:val="00622516"/>
    <w:rsid w:val="006229E2"/>
    <w:rsid w:val="00622FE8"/>
    <w:rsid w:val="00623F75"/>
    <w:rsid w:val="00624164"/>
    <w:rsid w:val="0062430E"/>
    <w:rsid w:val="00624D6E"/>
    <w:rsid w:val="00624E21"/>
    <w:rsid w:val="00624EB5"/>
    <w:rsid w:val="00625656"/>
    <w:rsid w:val="00625AEB"/>
    <w:rsid w:val="006261F9"/>
    <w:rsid w:val="00626884"/>
    <w:rsid w:val="00626A32"/>
    <w:rsid w:val="00627339"/>
    <w:rsid w:val="006275EE"/>
    <w:rsid w:val="00627D04"/>
    <w:rsid w:val="0063022F"/>
    <w:rsid w:val="006302DC"/>
    <w:rsid w:val="00630ECB"/>
    <w:rsid w:val="006315ED"/>
    <w:rsid w:val="00632460"/>
    <w:rsid w:val="00632651"/>
    <w:rsid w:val="006329C8"/>
    <w:rsid w:val="00632B69"/>
    <w:rsid w:val="00632C8F"/>
    <w:rsid w:val="00633976"/>
    <w:rsid w:val="00633A8C"/>
    <w:rsid w:val="0063404B"/>
    <w:rsid w:val="0063426D"/>
    <w:rsid w:val="00634C24"/>
    <w:rsid w:val="00634F54"/>
    <w:rsid w:val="00635230"/>
    <w:rsid w:val="00635774"/>
    <w:rsid w:val="00635D2E"/>
    <w:rsid w:val="00635FB6"/>
    <w:rsid w:val="00636070"/>
    <w:rsid w:val="00636117"/>
    <w:rsid w:val="0063624C"/>
    <w:rsid w:val="006367C5"/>
    <w:rsid w:val="00636CD5"/>
    <w:rsid w:val="00637296"/>
    <w:rsid w:val="0063792C"/>
    <w:rsid w:val="00637B1F"/>
    <w:rsid w:val="00637D71"/>
    <w:rsid w:val="006403ED"/>
    <w:rsid w:val="00640601"/>
    <w:rsid w:val="006407F5"/>
    <w:rsid w:val="00640DF1"/>
    <w:rsid w:val="00641081"/>
    <w:rsid w:val="00642013"/>
    <w:rsid w:val="006422FA"/>
    <w:rsid w:val="00642761"/>
    <w:rsid w:val="0064279B"/>
    <w:rsid w:val="006427AC"/>
    <w:rsid w:val="0064335A"/>
    <w:rsid w:val="00643716"/>
    <w:rsid w:val="0064373A"/>
    <w:rsid w:val="00643761"/>
    <w:rsid w:val="00643ADD"/>
    <w:rsid w:val="0064422B"/>
    <w:rsid w:val="00644819"/>
    <w:rsid w:val="00644D0D"/>
    <w:rsid w:val="00644FE5"/>
    <w:rsid w:val="00644FEC"/>
    <w:rsid w:val="00645C3B"/>
    <w:rsid w:val="006462C7"/>
    <w:rsid w:val="00646E8F"/>
    <w:rsid w:val="00647A32"/>
    <w:rsid w:val="00647A50"/>
    <w:rsid w:val="00647AFD"/>
    <w:rsid w:val="00647F33"/>
    <w:rsid w:val="00651FCB"/>
    <w:rsid w:val="00652E27"/>
    <w:rsid w:val="00652FC4"/>
    <w:rsid w:val="00653064"/>
    <w:rsid w:val="00653460"/>
    <w:rsid w:val="006540D2"/>
    <w:rsid w:val="0065424E"/>
    <w:rsid w:val="0065434D"/>
    <w:rsid w:val="006544EB"/>
    <w:rsid w:val="006545AE"/>
    <w:rsid w:val="00654A17"/>
    <w:rsid w:val="00654DE8"/>
    <w:rsid w:val="00654F7C"/>
    <w:rsid w:val="0065557A"/>
    <w:rsid w:val="00655F8F"/>
    <w:rsid w:val="006560B9"/>
    <w:rsid w:val="006560D8"/>
    <w:rsid w:val="00656BA2"/>
    <w:rsid w:val="00656C29"/>
    <w:rsid w:val="006572C0"/>
    <w:rsid w:val="0065767C"/>
    <w:rsid w:val="006601E8"/>
    <w:rsid w:val="006602DE"/>
    <w:rsid w:val="00660594"/>
    <w:rsid w:val="006609EF"/>
    <w:rsid w:val="00660AB1"/>
    <w:rsid w:val="00660B73"/>
    <w:rsid w:val="0066114E"/>
    <w:rsid w:val="00661359"/>
    <w:rsid w:val="006613E1"/>
    <w:rsid w:val="00661607"/>
    <w:rsid w:val="00661DE2"/>
    <w:rsid w:val="006621E7"/>
    <w:rsid w:val="006625F3"/>
    <w:rsid w:val="00662765"/>
    <w:rsid w:val="00662834"/>
    <w:rsid w:val="006636AF"/>
    <w:rsid w:val="00663735"/>
    <w:rsid w:val="00663F8A"/>
    <w:rsid w:val="0066438F"/>
    <w:rsid w:val="006647F7"/>
    <w:rsid w:val="0066487D"/>
    <w:rsid w:val="00664E47"/>
    <w:rsid w:val="00665124"/>
    <w:rsid w:val="00665561"/>
    <w:rsid w:val="00665AF1"/>
    <w:rsid w:val="00665C1B"/>
    <w:rsid w:val="00666174"/>
    <w:rsid w:val="0066641B"/>
    <w:rsid w:val="00666607"/>
    <w:rsid w:val="006666F2"/>
    <w:rsid w:val="00666C5B"/>
    <w:rsid w:val="00666D82"/>
    <w:rsid w:val="006671A8"/>
    <w:rsid w:val="006672B1"/>
    <w:rsid w:val="00667A20"/>
    <w:rsid w:val="00667B4E"/>
    <w:rsid w:val="006702A3"/>
    <w:rsid w:val="0067042C"/>
    <w:rsid w:val="00670D64"/>
    <w:rsid w:val="006717D7"/>
    <w:rsid w:val="00671B08"/>
    <w:rsid w:val="006725BA"/>
    <w:rsid w:val="00672F05"/>
    <w:rsid w:val="006732F9"/>
    <w:rsid w:val="006735B9"/>
    <w:rsid w:val="00674C35"/>
    <w:rsid w:val="00674D1F"/>
    <w:rsid w:val="006758AA"/>
    <w:rsid w:val="00675D4F"/>
    <w:rsid w:val="00676135"/>
    <w:rsid w:val="006761E8"/>
    <w:rsid w:val="0067646D"/>
    <w:rsid w:val="00676BFD"/>
    <w:rsid w:val="00676D56"/>
    <w:rsid w:val="00677AF8"/>
    <w:rsid w:val="00677CCD"/>
    <w:rsid w:val="00677DCC"/>
    <w:rsid w:val="00677F81"/>
    <w:rsid w:val="00680256"/>
    <w:rsid w:val="0068029B"/>
    <w:rsid w:val="00680A62"/>
    <w:rsid w:val="00681726"/>
    <w:rsid w:val="00681D00"/>
    <w:rsid w:val="0068269C"/>
    <w:rsid w:val="00682744"/>
    <w:rsid w:val="006827B8"/>
    <w:rsid w:val="00682984"/>
    <w:rsid w:val="006829D2"/>
    <w:rsid w:val="00684301"/>
    <w:rsid w:val="00684E90"/>
    <w:rsid w:val="006859A7"/>
    <w:rsid w:val="00686B0A"/>
    <w:rsid w:val="00686CE8"/>
    <w:rsid w:val="0068724F"/>
    <w:rsid w:val="006872E8"/>
    <w:rsid w:val="0068768E"/>
    <w:rsid w:val="00687705"/>
    <w:rsid w:val="006878FE"/>
    <w:rsid w:val="00687B85"/>
    <w:rsid w:val="00687D8A"/>
    <w:rsid w:val="006901EA"/>
    <w:rsid w:val="006904D4"/>
    <w:rsid w:val="00690C48"/>
    <w:rsid w:val="00690C62"/>
    <w:rsid w:val="006910EC"/>
    <w:rsid w:val="00691411"/>
    <w:rsid w:val="00691644"/>
    <w:rsid w:val="00691E52"/>
    <w:rsid w:val="006924C8"/>
    <w:rsid w:val="006927CB"/>
    <w:rsid w:val="0069295D"/>
    <w:rsid w:val="00692EAC"/>
    <w:rsid w:val="00692F67"/>
    <w:rsid w:val="006936E6"/>
    <w:rsid w:val="006942F2"/>
    <w:rsid w:val="00694373"/>
    <w:rsid w:val="0069451A"/>
    <w:rsid w:val="00694557"/>
    <w:rsid w:val="006945D3"/>
    <w:rsid w:val="00694A37"/>
    <w:rsid w:val="00694CF2"/>
    <w:rsid w:val="00694D52"/>
    <w:rsid w:val="006951C8"/>
    <w:rsid w:val="006958D8"/>
    <w:rsid w:val="006960AF"/>
    <w:rsid w:val="0069661B"/>
    <w:rsid w:val="00696A6B"/>
    <w:rsid w:val="00697687"/>
    <w:rsid w:val="00697D0A"/>
    <w:rsid w:val="006A0606"/>
    <w:rsid w:val="006A10AD"/>
    <w:rsid w:val="006A1608"/>
    <w:rsid w:val="006A1883"/>
    <w:rsid w:val="006A19B5"/>
    <w:rsid w:val="006A1AED"/>
    <w:rsid w:val="006A1D66"/>
    <w:rsid w:val="006A1DEF"/>
    <w:rsid w:val="006A2525"/>
    <w:rsid w:val="006A2629"/>
    <w:rsid w:val="006A27F2"/>
    <w:rsid w:val="006A282B"/>
    <w:rsid w:val="006A3075"/>
    <w:rsid w:val="006A3688"/>
    <w:rsid w:val="006A37A3"/>
    <w:rsid w:val="006A3A45"/>
    <w:rsid w:val="006A428F"/>
    <w:rsid w:val="006A42CF"/>
    <w:rsid w:val="006A444C"/>
    <w:rsid w:val="006A4813"/>
    <w:rsid w:val="006A496E"/>
    <w:rsid w:val="006A4B04"/>
    <w:rsid w:val="006A4CEE"/>
    <w:rsid w:val="006A5213"/>
    <w:rsid w:val="006A536A"/>
    <w:rsid w:val="006A5755"/>
    <w:rsid w:val="006A5917"/>
    <w:rsid w:val="006A6262"/>
    <w:rsid w:val="006A6FD7"/>
    <w:rsid w:val="006B08B3"/>
    <w:rsid w:val="006B0C26"/>
    <w:rsid w:val="006B167D"/>
    <w:rsid w:val="006B19A9"/>
    <w:rsid w:val="006B1FEE"/>
    <w:rsid w:val="006B20D9"/>
    <w:rsid w:val="006B21A0"/>
    <w:rsid w:val="006B2360"/>
    <w:rsid w:val="006B243C"/>
    <w:rsid w:val="006B4B09"/>
    <w:rsid w:val="006B57B7"/>
    <w:rsid w:val="006B5B39"/>
    <w:rsid w:val="006B5E2C"/>
    <w:rsid w:val="006B602F"/>
    <w:rsid w:val="006B6056"/>
    <w:rsid w:val="006B65AE"/>
    <w:rsid w:val="006B6628"/>
    <w:rsid w:val="006B6B45"/>
    <w:rsid w:val="006B6C6E"/>
    <w:rsid w:val="006B7BCE"/>
    <w:rsid w:val="006B7C57"/>
    <w:rsid w:val="006B7FDE"/>
    <w:rsid w:val="006C02C1"/>
    <w:rsid w:val="006C096B"/>
    <w:rsid w:val="006C0E2F"/>
    <w:rsid w:val="006C11DC"/>
    <w:rsid w:val="006C123F"/>
    <w:rsid w:val="006C137C"/>
    <w:rsid w:val="006C1704"/>
    <w:rsid w:val="006C184A"/>
    <w:rsid w:val="006C1DA5"/>
    <w:rsid w:val="006C220E"/>
    <w:rsid w:val="006C265E"/>
    <w:rsid w:val="006C2A13"/>
    <w:rsid w:val="006C2A7D"/>
    <w:rsid w:val="006C2A9C"/>
    <w:rsid w:val="006C31AA"/>
    <w:rsid w:val="006C3226"/>
    <w:rsid w:val="006C3508"/>
    <w:rsid w:val="006C36EC"/>
    <w:rsid w:val="006C3820"/>
    <w:rsid w:val="006C3BB0"/>
    <w:rsid w:val="006C3E3D"/>
    <w:rsid w:val="006C44CD"/>
    <w:rsid w:val="006C472F"/>
    <w:rsid w:val="006C4ADB"/>
    <w:rsid w:val="006C4AF4"/>
    <w:rsid w:val="006C4C2E"/>
    <w:rsid w:val="006C4F3D"/>
    <w:rsid w:val="006C6385"/>
    <w:rsid w:val="006C6868"/>
    <w:rsid w:val="006C6C38"/>
    <w:rsid w:val="006C6ECE"/>
    <w:rsid w:val="006C734B"/>
    <w:rsid w:val="006C73EC"/>
    <w:rsid w:val="006C7492"/>
    <w:rsid w:val="006C75F7"/>
    <w:rsid w:val="006D05AA"/>
    <w:rsid w:val="006D0C21"/>
    <w:rsid w:val="006D2647"/>
    <w:rsid w:val="006D2698"/>
    <w:rsid w:val="006D31A2"/>
    <w:rsid w:val="006D3F2F"/>
    <w:rsid w:val="006D4303"/>
    <w:rsid w:val="006D4D3C"/>
    <w:rsid w:val="006D5545"/>
    <w:rsid w:val="006D5C9D"/>
    <w:rsid w:val="006D64AD"/>
    <w:rsid w:val="006D64FB"/>
    <w:rsid w:val="006D6ABE"/>
    <w:rsid w:val="006D6F41"/>
    <w:rsid w:val="006D7323"/>
    <w:rsid w:val="006D7D85"/>
    <w:rsid w:val="006E0388"/>
    <w:rsid w:val="006E0692"/>
    <w:rsid w:val="006E08DA"/>
    <w:rsid w:val="006E09F7"/>
    <w:rsid w:val="006E0C4E"/>
    <w:rsid w:val="006E1A04"/>
    <w:rsid w:val="006E2022"/>
    <w:rsid w:val="006E2D6C"/>
    <w:rsid w:val="006E2F63"/>
    <w:rsid w:val="006E3061"/>
    <w:rsid w:val="006E3536"/>
    <w:rsid w:val="006E3BA1"/>
    <w:rsid w:val="006E40F2"/>
    <w:rsid w:val="006E426C"/>
    <w:rsid w:val="006E42C2"/>
    <w:rsid w:val="006E4451"/>
    <w:rsid w:val="006E446B"/>
    <w:rsid w:val="006E47A4"/>
    <w:rsid w:val="006E5109"/>
    <w:rsid w:val="006E56E8"/>
    <w:rsid w:val="006E5748"/>
    <w:rsid w:val="006E6215"/>
    <w:rsid w:val="006E6674"/>
    <w:rsid w:val="006E682B"/>
    <w:rsid w:val="006E6852"/>
    <w:rsid w:val="006E6AEC"/>
    <w:rsid w:val="006E6CBF"/>
    <w:rsid w:val="006E6F72"/>
    <w:rsid w:val="006E749B"/>
    <w:rsid w:val="006F0354"/>
    <w:rsid w:val="006F0C62"/>
    <w:rsid w:val="006F13EC"/>
    <w:rsid w:val="006F27A1"/>
    <w:rsid w:val="006F28D0"/>
    <w:rsid w:val="006F3B49"/>
    <w:rsid w:val="006F3CD2"/>
    <w:rsid w:val="006F41CC"/>
    <w:rsid w:val="006F4DC8"/>
    <w:rsid w:val="006F535A"/>
    <w:rsid w:val="006F5654"/>
    <w:rsid w:val="006F63E6"/>
    <w:rsid w:val="006F6E56"/>
    <w:rsid w:val="006F70F4"/>
    <w:rsid w:val="006F754D"/>
    <w:rsid w:val="006F7B76"/>
    <w:rsid w:val="006F7DFF"/>
    <w:rsid w:val="006F7FED"/>
    <w:rsid w:val="007002A3"/>
    <w:rsid w:val="00700541"/>
    <w:rsid w:val="007006E7"/>
    <w:rsid w:val="0070086C"/>
    <w:rsid w:val="0070089B"/>
    <w:rsid w:val="007009EF"/>
    <w:rsid w:val="00700D62"/>
    <w:rsid w:val="0070112B"/>
    <w:rsid w:val="007015C7"/>
    <w:rsid w:val="00701609"/>
    <w:rsid w:val="00701F8C"/>
    <w:rsid w:val="00701FB2"/>
    <w:rsid w:val="00702092"/>
    <w:rsid w:val="00702406"/>
    <w:rsid w:val="00702EFF"/>
    <w:rsid w:val="007030AE"/>
    <w:rsid w:val="00703183"/>
    <w:rsid w:val="00703B06"/>
    <w:rsid w:val="00703B5F"/>
    <w:rsid w:val="00703B70"/>
    <w:rsid w:val="00703F80"/>
    <w:rsid w:val="0070406E"/>
    <w:rsid w:val="00704102"/>
    <w:rsid w:val="00704EC9"/>
    <w:rsid w:val="00704F8D"/>
    <w:rsid w:val="007056FA"/>
    <w:rsid w:val="00705D56"/>
    <w:rsid w:val="00706725"/>
    <w:rsid w:val="0070712B"/>
    <w:rsid w:val="007072B6"/>
    <w:rsid w:val="007074FE"/>
    <w:rsid w:val="00707592"/>
    <w:rsid w:val="00707DDC"/>
    <w:rsid w:val="0071059F"/>
    <w:rsid w:val="0071060F"/>
    <w:rsid w:val="00711018"/>
    <w:rsid w:val="00711108"/>
    <w:rsid w:val="00711DE3"/>
    <w:rsid w:val="00712429"/>
    <w:rsid w:val="00712932"/>
    <w:rsid w:val="00712C39"/>
    <w:rsid w:val="007131B6"/>
    <w:rsid w:val="00713894"/>
    <w:rsid w:val="00713A1B"/>
    <w:rsid w:val="00713ADB"/>
    <w:rsid w:val="00713EC8"/>
    <w:rsid w:val="00714488"/>
    <w:rsid w:val="0071469B"/>
    <w:rsid w:val="007152A5"/>
    <w:rsid w:val="00715CDA"/>
    <w:rsid w:val="007169ED"/>
    <w:rsid w:val="00716C2D"/>
    <w:rsid w:val="00716E7D"/>
    <w:rsid w:val="00717347"/>
    <w:rsid w:val="007174AF"/>
    <w:rsid w:val="007176FD"/>
    <w:rsid w:val="00720887"/>
    <w:rsid w:val="00720FAC"/>
    <w:rsid w:val="007225B0"/>
    <w:rsid w:val="007227FE"/>
    <w:rsid w:val="007228AB"/>
    <w:rsid w:val="00722A3C"/>
    <w:rsid w:val="00722A95"/>
    <w:rsid w:val="00723472"/>
    <w:rsid w:val="00723C86"/>
    <w:rsid w:val="00723D64"/>
    <w:rsid w:val="00724218"/>
    <w:rsid w:val="007242B5"/>
    <w:rsid w:val="0072455F"/>
    <w:rsid w:val="00724EF3"/>
    <w:rsid w:val="00725416"/>
    <w:rsid w:val="00725581"/>
    <w:rsid w:val="00725C40"/>
    <w:rsid w:val="00726398"/>
    <w:rsid w:val="0072682E"/>
    <w:rsid w:val="00726D56"/>
    <w:rsid w:val="00726ED8"/>
    <w:rsid w:val="0072723F"/>
    <w:rsid w:val="00727275"/>
    <w:rsid w:val="007276EF"/>
    <w:rsid w:val="00727B98"/>
    <w:rsid w:val="00730498"/>
    <w:rsid w:val="00730734"/>
    <w:rsid w:val="00730BF8"/>
    <w:rsid w:val="00731564"/>
    <w:rsid w:val="0073171F"/>
    <w:rsid w:val="00731943"/>
    <w:rsid w:val="0073260B"/>
    <w:rsid w:val="00732AA7"/>
    <w:rsid w:val="00732B0D"/>
    <w:rsid w:val="00732B9B"/>
    <w:rsid w:val="00733322"/>
    <w:rsid w:val="007336AF"/>
    <w:rsid w:val="00733C43"/>
    <w:rsid w:val="007340F7"/>
    <w:rsid w:val="0073688B"/>
    <w:rsid w:val="00736B7B"/>
    <w:rsid w:val="00736E8D"/>
    <w:rsid w:val="00737096"/>
    <w:rsid w:val="007376DD"/>
    <w:rsid w:val="00737A1E"/>
    <w:rsid w:val="00737D73"/>
    <w:rsid w:val="00737DC5"/>
    <w:rsid w:val="00737E8C"/>
    <w:rsid w:val="00737EFB"/>
    <w:rsid w:val="007400BF"/>
    <w:rsid w:val="007402CF"/>
    <w:rsid w:val="0074045B"/>
    <w:rsid w:val="00740A23"/>
    <w:rsid w:val="00740A4F"/>
    <w:rsid w:val="00742862"/>
    <w:rsid w:val="007428A0"/>
    <w:rsid w:val="00743298"/>
    <w:rsid w:val="00743FA7"/>
    <w:rsid w:val="00743FE0"/>
    <w:rsid w:val="007444F4"/>
    <w:rsid w:val="0074466D"/>
    <w:rsid w:val="007448F8"/>
    <w:rsid w:val="0074492B"/>
    <w:rsid w:val="00744B66"/>
    <w:rsid w:val="00744C30"/>
    <w:rsid w:val="00745FF2"/>
    <w:rsid w:val="00746A50"/>
    <w:rsid w:val="00746DB2"/>
    <w:rsid w:val="00747C52"/>
    <w:rsid w:val="00750088"/>
    <w:rsid w:val="007500A8"/>
    <w:rsid w:val="00750578"/>
    <w:rsid w:val="00750E4A"/>
    <w:rsid w:val="00752437"/>
    <w:rsid w:val="007526A2"/>
    <w:rsid w:val="007530B4"/>
    <w:rsid w:val="00753E62"/>
    <w:rsid w:val="00754993"/>
    <w:rsid w:val="00754AB0"/>
    <w:rsid w:val="00755159"/>
    <w:rsid w:val="0075516B"/>
    <w:rsid w:val="00755223"/>
    <w:rsid w:val="007563C5"/>
    <w:rsid w:val="00756B9D"/>
    <w:rsid w:val="00757086"/>
    <w:rsid w:val="00757153"/>
    <w:rsid w:val="007572D8"/>
    <w:rsid w:val="00757840"/>
    <w:rsid w:val="007602FD"/>
    <w:rsid w:val="0076044F"/>
    <w:rsid w:val="00760821"/>
    <w:rsid w:val="00760AA0"/>
    <w:rsid w:val="00760C8A"/>
    <w:rsid w:val="00760CAA"/>
    <w:rsid w:val="0076111B"/>
    <w:rsid w:val="00761868"/>
    <w:rsid w:val="00761D88"/>
    <w:rsid w:val="00761E94"/>
    <w:rsid w:val="00762256"/>
    <w:rsid w:val="0076273D"/>
    <w:rsid w:val="00763B6A"/>
    <w:rsid w:val="00763C8A"/>
    <w:rsid w:val="00763E72"/>
    <w:rsid w:val="00764A74"/>
    <w:rsid w:val="00764AA0"/>
    <w:rsid w:val="00764AFB"/>
    <w:rsid w:val="00764BA6"/>
    <w:rsid w:val="007651E4"/>
    <w:rsid w:val="00765A87"/>
    <w:rsid w:val="00765FD0"/>
    <w:rsid w:val="007665E3"/>
    <w:rsid w:val="007666B3"/>
    <w:rsid w:val="0076769F"/>
    <w:rsid w:val="00767775"/>
    <w:rsid w:val="007678E5"/>
    <w:rsid w:val="00767F06"/>
    <w:rsid w:val="00770268"/>
    <w:rsid w:val="0077054D"/>
    <w:rsid w:val="0077208C"/>
    <w:rsid w:val="00772288"/>
    <w:rsid w:val="007724DD"/>
    <w:rsid w:val="0077253B"/>
    <w:rsid w:val="00772876"/>
    <w:rsid w:val="007732DC"/>
    <w:rsid w:val="00773396"/>
    <w:rsid w:val="00773571"/>
    <w:rsid w:val="007736D0"/>
    <w:rsid w:val="00773A5B"/>
    <w:rsid w:val="00773B6E"/>
    <w:rsid w:val="00773F47"/>
    <w:rsid w:val="00774585"/>
    <w:rsid w:val="007748E1"/>
    <w:rsid w:val="00774942"/>
    <w:rsid w:val="00774CF8"/>
    <w:rsid w:val="00775256"/>
    <w:rsid w:val="00775A02"/>
    <w:rsid w:val="00775E07"/>
    <w:rsid w:val="007764E1"/>
    <w:rsid w:val="00776CD7"/>
    <w:rsid w:val="00776EEF"/>
    <w:rsid w:val="007771F9"/>
    <w:rsid w:val="00777B05"/>
    <w:rsid w:val="00777F17"/>
    <w:rsid w:val="0078016F"/>
    <w:rsid w:val="007805D7"/>
    <w:rsid w:val="007806C2"/>
    <w:rsid w:val="00780D89"/>
    <w:rsid w:val="00781148"/>
    <w:rsid w:val="00781434"/>
    <w:rsid w:val="007816B7"/>
    <w:rsid w:val="007820C2"/>
    <w:rsid w:val="00782220"/>
    <w:rsid w:val="00782399"/>
    <w:rsid w:val="0078240D"/>
    <w:rsid w:val="007829B5"/>
    <w:rsid w:val="00782E58"/>
    <w:rsid w:val="00783604"/>
    <w:rsid w:val="00783CF9"/>
    <w:rsid w:val="00783EE0"/>
    <w:rsid w:val="00784341"/>
    <w:rsid w:val="00784840"/>
    <w:rsid w:val="00784D10"/>
    <w:rsid w:val="00784D31"/>
    <w:rsid w:val="0078588D"/>
    <w:rsid w:val="00785CF6"/>
    <w:rsid w:val="007862E5"/>
    <w:rsid w:val="007877B5"/>
    <w:rsid w:val="00790954"/>
    <w:rsid w:val="00790B41"/>
    <w:rsid w:val="00790B85"/>
    <w:rsid w:val="00790C3B"/>
    <w:rsid w:val="00790E98"/>
    <w:rsid w:val="007910FF"/>
    <w:rsid w:val="00791758"/>
    <w:rsid w:val="00791916"/>
    <w:rsid w:val="007923E9"/>
    <w:rsid w:val="00792DEA"/>
    <w:rsid w:val="00792F8E"/>
    <w:rsid w:val="007942E1"/>
    <w:rsid w:val="00794773"/>
    <w:rsid w:val="00794BF1"/>
    <w:rsid w:val="00794F16"/>
    <w:rsid w:val="00795571"/>
    <w:rsid w:val="00795608"/>
    <w:rsid w:val="00795639"/>
    <w:rsid w:val="00795DEF"/>
    <w:rsid w:val="00797115"/>
    <w:rsid w:val="007A0363"/>
    <w:rsid w:val="007A0495"/>
    <w:rsid w:val="007A061C"/>
    <w:rsid w:val="007A125F"/>
    <w:rsid w:val="007A17FE"/>
    <w:rsid w:val="007A1D27"/>
    <w:rsid w:val="007A2618"/>
    <w:rsid w:val="007A2886"/>
    <w:rsid w:val="007A409D"/>
    <w:rsid w:val="007A4B52"/>
    <w:rsid w:val="007A4E09"/>
    <w:rsid w:val="007A4FCF"/>
    <w:rsid w:val="007A5DA2"/>
    <w:rsid w:val="007A74EA"/>
    <w:rsid w:val="007A79B0"/>
    <w:rsid w:val="007A7AA6"/>
    <w:rsid w:val="007B0195"/>
    <w:rsid w:val="007B0AB6"/>
    <w:rsid w:val="007B0D34"/>
    <w:rsid w:val="007B14FC"/>
    <w:rsid w:val="007B1531"/>
    <w:rsid w:val="007B1B4E"/>
    <w:rsid w:val="007B1F4F"/>
    <w:rsid w:val="007B236D"/>
    <w:rsid w:val="007B27FE"/>
    <w:rsid w:val="007B286B"/>
    <w:rsid w:val="007B29C4"/>
    <w:rsid w:val="007B2E85"/>
    <w:rsid w:val="007B2F2B"/>
    <w:rsid w:val="007B3D73"/>
    <w:rsid w:val="007B451D"/>
    <w:rsid w:val="007B45BC"/>
    <w:rsid w:val="007B55A3"/>
    <w:rsid w:val="007B5AF5"/>
    <w:rsid w:val="007B5BE6"/>
    <w:rsid w:val="007B5FD3"/>
    <w:rsid w:val="007B60ED"/>
    <w:rsid w:val="007B698E"/>
    <w:rsid w:val="007B6E35"/>
    <w:rsid w:val="007B79A2"/>
    <w:rsid w:val="007B79D2"/>
    <w:rsid w:val="007B7D06"/>
    <w:rsid w:val="007C03C0"/>
    <w:rsid w:val="007C14C1"/>
    <w:rsid w:val="007C1526"/>
    <w:rsid w:val="007C254F"/>
    <w:rsid w:val="007C2A43"/>
    <w:rsid w:val="007C2C6F"/>
    <w:rsid w:val="007C2DEF"/>
    <w:rsid w:val="007C3911"/>
    <w:rsid w:val="007C3A97"/>
    <w:rsid w:val="007C3D2C"/>
    <w:rsid w:val="007C40B6"/>
    <w:rsid w:val="007C4D8F"/>
    <w:rsid w:val="007C4F39"/>
    <w:rsid w:val="007C5593"/>
    <w:rsid w:val="007C5A29"/>
    <w:rsid w:val="007C630C"/>
    <w:rsid w:val="007C64A3"/>
    <w:rsid w:val="007C72A1"/>
    <w:rsid w:val="007C7468"/>
    <w:rsid w:val="007C7A0D"/>
    <w:rsid w:val="007C7AD3"/>
    <w:rsid w:val="007C7BB9"/>
    <w:rsid w:val="007C7F3D"/>
    <w:rsid w:val="007D0861"/>
    <w:rsid w:val="007D08FA"/>
    <w:rsid w:val="007D096C"/>
    <w:rsid w:val="007D0EDE"/>
    <w:rsid w:val="007D19D6"/>
    <w:rsid w:val="007D1CF8"/>
    <w:rsid w:val="007D20F0"/>
    <w:rsid w:val="007D2207"/>
    <w:rsid w:val="007D2588"/>
    <w:rsid w:val="007D29F3"/>
    <w:rsid w:val="007D2F18"/>
    <w:rsid w:val="007D33B7"/>
    <w:rsid w:val="007D35D2"/>
    <w:rsid w:val="007D35DE"/>
    <w:rsid w:val="007D405F"/>
    <w:rsid w:val="007D408F"/>
    <w:rsid w:val="007D441F"/>
    <w:rsid w:val="007D49D3"/>
    <w:rsid w:val="007D5231"/>
    <w:rsid w:val="007D5338"/>
    <w:rsid w:val="007D543F"/>
    <w:rsid w:val="007D5B25"/>
    <w:rsid w:val="007D60C8"/>
    <w:rsid w:val="007D6514"/>
    <w:rsid w:val="007D6FF8"/>
    <w:rsid w:val="007D73C8"/>
    <w:rsid w:val="007D7D61"/>
    <w:rsid w:val="007D7F2C"/>
    <w:rsid w:val="007E004E"/>
    <w:rsid w:val="007E01F1"/>
    <w:rsid w:val="007E09A5"/>
    <w:rsid w:val="007E0EB9"/>
    <w:rsid w:val="007E15A3"/>
    <w:rsid w:val="007E1B9D"/>
    <w:rsid w:val="007E1D76"/>
    <w:rsid w:val="007E281C"/>
    <w:rsid w:val="007E3066"/>
    <w:rsid w:val="007E34EB"/>
    <w:rsid w:val="007E368E"/>
    <w:rsid w:val="007E40BD"/>
    <w:rsid w:val="007E40FD"/>
    <w:rsid w:val="007E5011"/>
    <w:rsid w:val="007E5451"/>
    <w:rsid w:val="007E5454"/>
    <w:rsid w:val="007E5940"/>
    <w:rsid w:val="007E5C98"/>
    <w:rsid w:val="007E5D77"/>
    <w:rsid w:val="007E6753"/>
    <w:rsid w:val="007E79B4"/>
    <w:rsid w:val="007F07D6"/>
    <w:rsid w:val="007F1576"/>
    <w:rsid w:val="007F17E6"/>
    <w:rsid w:val="007F1E94"/>
    <w:rsid w:val="007F2260"/>
    <w:rsid w:val="007F2952"/>
    <w:rsid w:val="007F408C"/>
    <w:rsid w:val="007F4480"/>
    <w:rsid w:val="007F48DB"/>
    <w:rsid w:val="007F4A22"/>
    <w:rsid w:val="007F4CB5"/>
    <w:rsid w:val="007F4D73"/>
    <w:rsid w:val="007F5647"/>
    <w:rsid w:val="007F5A00"/>
    <w:rsid w:val="007F61D8"/>
    <w:rsid w:val="007F647C"/>
    <w:rsid w:val="007F6482"/>
    <w:rsid w:val="007F6EF2"/>
    <w:rsid w:val="008009CE"/>
    <w:rsid w:val="00800FD6"/>
    <w:rsid w:val="0080116E"/>
    <w:rsid w:val="00801763"/>
    <w:rsid w:val="00801E5B"/>
    <w:rsid w:val="0080212F"/>
    <w:rsid w:val="008032F1"/>
    <w:rsid w:val="0080355D"/>
    <w:rsid w:val="0080381D"/>
    <w:rsid w:val="00803FE4"/>
    <w:rsid w:val="00804082"/>
    <w:rsid w:val="00804DF2"/>
    <w:rsid w:val="00805A73"/>
    <w:rsid w:val="00806068"/>
    <w:rsid w:val="00806A49"/>
    <w:rsid w:val="00806F65"/>
    <w:rsid w:val="0080705C"/>
    <w:rsid w:val="00807786"/>
    <w:rsid w:val="00807CDB"/>
    <w:rsid w:val="00810D6A"/>
    <w:rsid w:val="00810DCD"/>
    <w:rsid w:val="00812221"/>
    <w:rsid w:val="00813620"/>
    <w:rsid w:val="00813FE8"/>
    <w:rsid w:val="0081533C"/>
    <w:rsid w:val="00815943"/>
    <w:rsid w:val="00815D22"/>
    <w:rsid w:val="008164F9"/>
    <w:rsid w:val="0081673B"/>
    <w:rsid w:val="00816FDA"/>
    <w:rsid w:val="00817622"/>
    <w:rsid w:val="00817CD7"/>
    <w:rsid w:val="00817FF2"/>
    <w:rsid w:val="00820868"/>
    <w:rsid w:val="0082182F"/>
    <w:rsid w:val="00821D96"/>
    <w:rsid w:val="008226B8"/>
    <w:rsid w:val="00823BBE"/>
    <w:rsid w:val="008244CC"/>
    <w:rsid w:val="00824613"/>
    <w:rsid w:val="00827035"/>
    <w:rsid w:val="008275AF"/>
    <w:rsid w:val="00827AE0"/>
    <w:rsid w:val="00827B24"/>
    <w:rsid w:val="00827D4A"/>
    <w:rsid w:val="00827E85"/>
    <w:rsid w:val="00830195"/>
    <w:rsid w:val="008302F0"/>
    <w:rsid w:val="00830634"/>
    <w:rsid w:val="00831250"/>
    <w:rsid w:val="0083193E"/>
    <w:rsid w:val="00832175"/>
    <w:rsid w:val="008323FC"/>
    <w:rsid w:val="00832509"/>
    <w:rsid w:val="008329CF"/>
    <w:rsid w:val="00833062"/>
    <w:rsid w:val="0083349E"/>
    <w:rsid w:val="008343E7"/>
    <w:rsid w:val="0083469B"/>
    <w:rsid w:val="00834A70"/>
    <w:rsid w:val="00835179"/>
    <w:rsid w:val="00835394"/>
    <w:rsid w:val="008357F4"/>
    <w:rsid w:val="00835912"/>
    <w:rsid w:val="00835950"/>
    <w:rsid w:val="00835A04"/>
    <w:rsid w:val="00835A1B"/>
    <w:rsid w:val="00835EA3"/>
    <w:rsid w:val="008361F7"/>
    <w:rsid w:val="00836669"/>
    <w:rsid w:val="00837563"/>
    <w:rsid w:val="00837EDB"/>
    <w:rsid w:val="0084024A"/>
    <w:rsid w:val="0084026A"/>
    <w:rsid w:val="0084085C"/>
    <w:rsid w:val="00840AD1"/>
    <w:rsid w:val="00841552"/>
    <w:rsid w:val="0084190B"/>
    <w:rsid w:val="00842182"/>
    <w:rsid w:val="00842C29"/>
    <w:rsid w:val="00842DA0"/>
    <w:rsid w:val="0084314F"/>
    <w:rsid w:val="008437A7"/>
    <w:rsid w:val="00843B85"/>
    <w:rsid w:val="00843D86"/>
    <w:rsid w:val="008446A1"/>
    <w:rsid w:val="00844947"/>
    <w:rsid w:val="0084495E"/>
    <w:rsid w:val="00844A47"/>
    <w:rsid w:val="00845523"/>
    <w:rsid w:val="00846D4F"/>
    <w:rsid w:val="00846D99"/>
    <w:rsid w:val="00846F40"/>
    <w:rsid w:val="00846F55"/>
    <w:rsid w:val="00846F6F"/>
    <w:rsid w:val="008472CB"/>
    <w:rsid w:val="008475B2"/>
    <w:rsid w:val="008504B4"/>
    <w:rsid w:val="00850E37"/>
    <w:rsid w:val="0085108E"/>
    <w:rsid w:val="0085163E"/>
    <w:rsid w:val="00851952"/>
    <w:rsid w:val="00851B7F"/>
    <w:rsid w:val="00851B9F"/>
    <w:rsid w:val="00851C28"/>
    <w:rsid w:val="00851C3B"/>
    <w:rsid w:val="00851E2A"/>
    <w:rsid w:val="008539C6"/>
    <w:rsid w:val="00854250"/>
    <w:rsid w:val="0085439B"/>
    <w:rsid w:val="0085453A"/>
    <w:rsid w:val="00854ABC"/>
    <w:rsid w:val="0085545C"/>
    <w:rsid w:val="00855538"/>
    <w:rsid w:val="00855AA3"/>
    <w:rsid w:val="0085621B"/>
    <w:rsid w:val="0085655B"/>
    <w:rsid w:val="00856D97"/>
    <w:rsid w:val="008572C9"/>
    <w:rsid w:val="008574ED"/>
    <w:rsid w:val="008575C0"/>
    <w:rsid w:val="00857B4C"/>
    <w:rsid w:val="00857B89"/>
    <w:rsid w:val="00857FCE"/>
    <w:rsid w:val="00860882"/>
    <w:rsid w:val="00860B7B"/>
    <w:rsid w:val="008616BB"/>
    <w:rsid w:val="008616C6"/>
    <w:rsid w:val="00861725"/>
    <w:rsid w:val="00861826"/>
    <w:rsid w:val="00861882"/>
    <w:rsid w:val="00861B16"/>
    <w:rsid w:val="008621D3"/>
    <w:rsid w:val="0086228C"/>
    <w:rsid w:val="00862931"/>
    <w:rsid w:val="00862E50"/>
    <w:rsid w:val="00862F34"/>
    <w:rsid w:val="008636BE"/>
    <w:rsid w:val="00863B53"/>
    <w:rsid w:val="00864093"/>
    <w:rsid w:val="008641A7"/>
    <w:rsid w:val="00864843"/>
    <w:rsid w:val="008649E4"/>
    <w:rsid w:val="00864C02"/>
    <w:rsid w:val="008654AE"/>
    <w:rsid w:val="008655C1"/>
    <w:rsid w:val="008655E0"/>
    <w:rsid w:val="008659A8"/>
    <w:rsid w:val="00866442"/>
    <w:rsid w:val="00866688"/>
    <w:rsid w:val="0086724B"/>
    <w:rsid w:val="00867904"/>
    <w:rsid w:val="0086797C"/>
    <w:rsid w:val="00870B85"/>
    <w:rsid w:val="00870B91"/>
    <w:rsid w:val="008711ED"/>
    <w:rsid w:val="008717E7"/>
    <w:rsid w:val="00871923"/>
    <w:rsid w:val="00871D9D"/>
    <w:rsid w:val="00871DDF"/>
    <w:rsid w:val="0087226B"/>
    <w:rsid w:val="0087295D"/>
    <w:rsid w:val="00872D50"/>
    <w:rsid w:val="00872DE2"/>
    <w:rsid w:val="00872F55"/>
    <w:rsid w:val="00873A4C"/>
    <w:rsid w:val="00873C3B"/>
    <w:rsid w:val="008750F0"/>
    <w:rsid w:val="0087567A"/>
    <w:rsid w:val="008758D2"/>
    <w:rsid w:val="00876146"/>
    <w:rsid w:val="00876D04"/>
    <w:rsid w:val="00877990"/>
    <w:rsid w:val="00881687"/>
    <w:rsid w:val="00881D74"/>
    <w:rsid w:val="008822A4"/>
    <w:rsid w:val="00882455"/>
    <w:rsid w:val="00882B35"/>
    <w:rsid w:val="008837E9"/>
    <w:rsid w:val="00883851"/>
    <w:rsid w:val="00883CAD"/>
    <w:rsid w:val="00883CF4"/>
    <w:rsid w:val="00883D75"/>
    <w:rsid w:val="00883FB3"/>
    <w:rsid w:val="008849B3"/>
    <w:rsid w:val="008859A3"/>
    <w:rsid w:val="008859B3"/>
    <w:rsid w:val="008859F4"/>
    <w:rsid w:val="008868DD"/>
    <w:rsid w:val="00886AA9"/>
    <w:rsid w:val="00887065"/>
    <w:rsid w:val="008876B2"/>
    <w:rsid w:val="00887779"/>
    <w:rsid w:val="00887952"/>
    <w:rsid w:val="00890F51"/>
    <w:rsid w:val="00890F81"/>
    <w:rsid w:val="0089175F"/>
    <w:rsid w:val="0089177C"/>
    <w:rsid w:val="00891DA5"/>
    <w:rsid w:val="0089286B"/>
    <w:rsid w:val="008929F4"/>
    <w:rsid w:val="00892B6C"/>
    <w:rsid w:val="00892DAE"/>
    <w:rsid w:val="008935F8"/>
    <w:rsid w:val="00893642"/>
    <w:rsid w:val="00893BAD"/>
    <w:rsid w:val="00893E8F"/>
    <w:rsid w:val="008944D0"/>
    <w:rsid w:val="00894DE3"/>
    <w:rsid w:val="008959BD"/>
    <w:rsid w:val="0089681E"/>
    <w:rsid w:val="00896A90"/>
    <w:rsid w:val="00897169"/>
    <w:rsid w:val="00897A3C"/>
    <w:rsid w:val="00897C91"/>
    <w:rsid w:val="00897F7C"/>
    <w:rsid w:val="008A02A9"/>
    <w:rsid w:val="008A0836"/>
    <w:rsid w:val="008A0A39"/>
    <w:rsid w:val="008A0C66"/>
    <w:rsid w:val="008A0EA2"/>
    <w:rsid w:val="008A1C36"/>
    <w:rsid w:val="008A20D9"/>
    <w:rsid w:val="008A2B63"/>
    <w:rsid w:val="008A3338"/>
    <w:rsid w:val="008A3AE0"/>
    <w:rsid w:val="008A41C8"/>
    <w:rsid w:val="008A42E1"/>
    <w:rsid w:val="008A4D63"/>
    <w:rsid w:val="008A4D98"/>
    <w:rsid w:val="008A4EB3"/>
    <w:rsid w:val="008A4EFF"/>
    <w:rsid w:val="008A50F2"/>
    <w:rsid w:val="008A5682"/>
    <w:rsid w:val="008A5C2C"/>
    <w:rsid w:val="008A5F31"/>
    <w:rsid w:val="008A607A"/>
    <w:rsid w:val="008A6446"/>
    <w:rsid w:val="008A6651"/>
    <w:rsid w:val="008A6FBC"/>
    <w:rsid w:val="008A798D"/>
    <w:rsid w:val="008A7A7D"/>
    <w:rsid w:val="008A7AE7"/>
    <w:rsid w:val="008A7D37"/>
    <w:rsid w:val="008A7E26"/>
    <w:rsid w:val="008B05C3"/>
    <w:rsid w:val="008B0699"/>
    <w:rsid w:val="008B082C"/>
    <w:rsid w:val="008B1D81"/>
    <w:rsid w:val="008B20A0"/>
    <w:rsid w:val="008B218C"/>
    <w:rsid w:val="008B2190"/>
    <w:rsid w:val="008B2293"/>
    <w:rsid w:val="008B22D0"/>
    <w:rsid w:val="008B250D"/>
    <w:rsid w:val="008B2B5E"/>
    <w:rsid w:val="008B3456"/>
    <w:rsid w:val="008B3D66"/>
    <w:rsid w:val="008B3D76"/>
    <w:rsid w:val="008B46C6"/>
    <w:rsid w:val="008B4965"/>
    <w:rsid w:val="008B4A5A"/>
    <w:rsid w:val="008B51B4"/>
    <w:rsid w:val="008B5274"/>
    <w:rsid w:val="008B53A6"/>
    <w:rsid w:val="008B54DC"/>
    <w:rsid w:val="008B5573"/>
    <w:rsid w:val="008B6F89"/>
    <w:rsid w:val="008B7258"/>
    <w:rsid w:val="008B7402"/>
    <w:rsid w:val="008C024E"/>
    <w:rsid w:val="008C0966"/>
    <w:rsid w:val="008C11C7"/>
    <w:rsid w:val="008C156D"/>
    <w:rsid w:val="008C183B"/>
    <w:rsid w:val="008C18DD"/>
    <w:rsid w:val="008C2B0F"/>
    <w:rsid w:val="008C2D71"/>
    <w:rsid w:val="008C31E9"/>
    <w:rsid w:val="008C3265"/>
    <w:rsid w:val="008C403C"/>
    <w:rsid w:val="008C4271"/>
    <w:rsid w:val="008C5325"/>
    <w:rsid w:val="008C547D"/>
    <w:rsid w:val="008C58DE"/>
    <w:rsid w:val="008C59FF"/>
    <w:rsid w:val="008C5CC5"/>
    <w:rsid w:val="008C5F81"/>
    <w:rsid w:val="008C6AAD"/>
    <w:rsid w:val="008C7216"/>
    <w:rsid w:val="008C7C66"/>
    <w:rsid w:val="008D01DD"/>
    <w:rsid w:val="008D05CF"/>
    <w:rsid w:val="008D0E08"/>
    <w:rsid w:val="008D11C0"/>
    <w:rsid w:val="008D1339"/>
    <w:rsid w:val="008D18A2"/>
    <w:rsid w:val="008D193D"/>
    <w:rsid w:val="008D19A5"/>
    <w:rsid w:val="008D1ABD"/>
    <w:rsid w:val="008D1CCA"/>
    <w:rsid w:val="008D1EAE"/>
    <w:rsid w:val="008D28A9"/>
    <w:rsid w:val="008D2E96"/>
    <w:rsid w:val="008D30BF"/>
    <w:rsid w:val="008D3303"/>
    <w:rsid w:val="008D3414"/>
    <w:rsid w:val="008D4AC8"/>
    <w:rsid w:val="008D5057"/>
    <w:rsid w:val="008D5BA7"/>
    <w:rsid w:val="008D606C"/>
    <w:rsid w:val="008D6316"/>
    <w:rsid w:val="008D63B9"/>
    <w:rsid w:val="008D66C9"/>
    <w:rsid w:val="008D6D83"/>
    <w:rsid w:val="008D7068"/>
    <w:rsid w:val="008D7517"/>
    <w:rsid w:val="008D776B"/>
    <w:rsid w:val="008E20AC"/>
    <w:rsid w:val="008E2912"/>
    <w:rsid w:val="008E2A32"/>
    <w:rsid w:val="008E2A89"/>
    <w:rsid w:val="008E3599"/>
    <w:rsid w:val="008E38DE"/>
    <w:rsid w:val="008E40E1"/>
    <w:rsid w:val="008E46BA"/>
    <w:rsid w:val="008E507C"/>
    <w:rsid w:val="008E5972"/>
    <w:rsid w:val="008E6341"/>
    <w:rsid w:val="008E66BE"/>
    <w:rsid w:val="008E6EE5"/>
    <w:rsid w:val="008E760E"/>
    <w:rsid w:val="008F02D6"/>
    <w:rsid w:val="008F05EC"/>
    <w:rsid w:val="008F09C2"/>
    <w:rsid w:val="008F0C93"/>
    <w:rsid w:val="008F109A"/>
    <w:rsid w:val="008F13B8"/>
    <w:rsid w:val="008F2220"/>
    <w:rsid w:val="008F2315"/>
    <w:rsid w:val="008F42BD"/>
    <w:rsid w:val="008F472C"/>
    <w:rsid w:val="008F4ECE"/>
    <w:rsid w:val="008F5A89"/>
    <w:rsid w:val="008F5D90"/>
    <w:rsid w:val="008F5DC4"/>
    <w:rsid w:val="008F5E14"/>
    <w:rsid w:val="008F644B"/>
    <w:rsid w:val="008F71D1"/>
    <w:rsid w:val="008F7A16"/>
    <w:rsid w:val="008F7AF1"/>
    <w:rsid w:val="0090026C"/>
    <w:rsid w:val="009009D9"/>
    <w:rsid w:val="0090137A"/>
    <w:rsid w:val="00901AC9"/>
    <w:rsid w:val="00901DAD"/>
    <w:rsid w:val="00902070"/>
    <w:rsid w:val="00902269"/>
    <w:rsid w:val="00902B32"/>
    <w:rsid w:val="00903114"/>
    <w:rsid w:val="00903286"/>
    <w:rsid w:val="00903CE8"/>
    <w:rsid w:val="009049CD"/>
    <w:rsid w:val="00904A35"/>
    <w:rsid w:val="00904AFB"/>
    <w:rsid w:val="009053D9"/>
    <w:rsid w:val="00905B1C"/>
    <w:rsid w:val="00906752"/>
    <w:rsid w:val="009071EE"/>
    <w:rsid w:val="0090742D"/>
    <w:rsid w:val="0090777B"/>
    <w:rsid w:val="009104E9"/>
    <w:rsid w:val="0091050C"/>
    <w:rsid w:val="00910544"/>
    <w:rsid w:val="00910711"/>
    <w:rsid w:val="00910CA4"/>
    <w:rsid w:val="00910F8A"/>
    <w:rsid w:val="0091100B"/>
    <w:rsid w:val="0091113E"/>
    <w:rsid w:val="00911952"/>
    <w:rsid w:val="0091250C"/>
    <w:rsid w:val="009127EC"/>
    <w:rsid w:val="00912816"/>
    <w:rsid w:val="00914032"/>
    <w:rsid w:val="009140A2"/>
    <w:rsid w:val="00914237"/>
    <w:rsid w:val="00914C6A"/>
    <w:rsid w:val="00914F2C"/>
    <w:rsid w:val="009156CA"/>
    <w:rsid w:val="00915E70"/>
    <w:rsid w:val="0091611F"/>
    <w:rsid w:val="00916A23"/>
    <w:rsid w:val="00916EBD"/>
    <w:rsid w:val="00916F53"/>
    <w:rsid w:val="009173BE"/>
    <w:rsid w:val="0091769D"/>
    <w:rsid w:val="00920448"/>
    <w:rsid w:val="009207C8"/>
    <w:rsid w:val="00920CF7"/>
    <w:rsid w:val="00920F78"/>
    <w:rsid w:val="00921230"/>
    <w:rsid w:val="00921373"/>
    <w:rsid w:val="009219F6"/>
    <w:rsid w:val="00921A0C"/>
    <w:rsid w:val="00921B49"/>
    <w:rsid w:val="00922208"/>
    <w:rsid w:val="0092264A"/>
    <w:rsid w:val="0092310C"/>
    <w:rsid w:val="009233B2"/>
    <w:rsid w:val="0092340A"/>
    <w:rsid w:val="00924663"/>
    <w:rsid w:val="00924A28"/>
    <w:rsid w:val="0092568F"/>
    <w:rsid w:val="00925F6B"/>
    <w:rsid w:val="00925F8E"/>
    <w:rsid w:val="009262A6"/>
    <w:rsid w:val="00927845"/>
    <w:rsid w:val="00927E5F"/>
    <w:rsid w:val="00930147"/>
    <w:rsid w:val="0093048B"/>
    <w:rsid w:val="009306EB"/>
    <w:rsid w:val="009307BD"/>
    <w:rsid w:val="00930997"/>
    <w:rsid w:val="009310FD"/>
    <w:rsid w:val="00931181"/>
    <w:rsid w:val="00931196"/>
    <w:rsid w:val="009311E4"/>
    <w:rsid w:val="0093193C"/>
    <w:rsid w:val="00931EE8"/>
    <w:rsid w:val="00932109"/>
    <w:rsid w:val="00932530"/>
    <w:rsid w:val="00932EF0"/>
    <w:rsid w:val="00933291"/>
    <w:rsid w:val="0093339F"/>
    <w:rsid w:val="0093348D"/>
    <w:rsid w:val="00933DA5"/>
    <w:rsid w:val="00933ED4"/>
    <w:rsid w:val="009345CD"/>
    <w:rsid w:val="00934B01"/>
    <w:rsid w:val="00934E23"/>
    <w:rsid w:val="009354E6"/>
    <w:rsid w:val="009355E6"/>
    <w:rsid w:val="009357F8"/>
    <w:rsid w:val="00936068"/>
    <w:rsid w:val="00936C6A"/>
    <w:rsid w:val="0093731D"/>
    <w:rsid w:val="00937B46"/>
    <w:rsid w:val="0094009A"/>
    <w:rsid w:val="0094044E"/>
    <w:rsid w:val="009408DB"/>
    <w:rsid w:val="00940A68"/>
    <w:rsid w:val="00940A9E"/>
    <w:rsid w:val="00941AC1"/>
    <w:rsid w:val="00941DB4"/>
    <w:rsid w:val="00942387"/>
    <w:rsid w:val="00942642"/>
    <w:rsid w:val="009428B6"/>
    <w:rsid w:val="00942B09"/>
    <w:rsid w:val="00942DC2"/>
    <w:rsid w:val="00942DC3"/>
    <w:rsid w:val="009432F2"/>
    <w:rsid w:val="0094339B"/>
    <w:rsid w:val="0094373C"/>
    <w:rsid w:val="00943B14"/>
    <w:rsid w:val="00943EFA"/>
    <w:rsid w:val="0094477B"/>
    <w:rsid w:val="00944A33"/>
    <w:rsid w:val="00944EF9"/>
    <w:rsid w:val="00945978"/>
    <w:rsid w:val="00945B74"/>
    <w:rsid w:val="00945BF1"/>
    <w:rsid w:val="0094604E"/>
    <w:rsid w:val="0094621C"/>
    <w:rsid w:val="009463DF"/>
    <w:rsid w:val="00946E41"/>
    <w:rsid w:val="00947166"/>
    <w:rsid w:val="0094744A"/>
    <w:rsid w:val="00947477"/>
    <w:rsid w:val="00947CFE"/>
    <w:rsid w:val="009504C8"/>
    <w:rsid w:val="009507A2"/>
    <w:rsid w:val="0095089D"/>
    <w:rsid w:val="00951771"/>
    <w:rsid w:val="009517CC"/>
    <w:rsid w:val="00951EE7"/>
    <w:rsid w:val="0095214B"/>
    <w:rsid w:val="0095354F"/>
    <w:rsid w:val="00953620"/>
    <w:rsid w:val="00953763"/>
    <w:rsid w:val="00953915"/>
    <w:rsid w:val="009539D6"/>
    <w:rsid w:val="00953D57"/>
    <w:rsid w:val="0095416B"/>
    <w:rsid w:val="0095450E"/>
    <w:rsid w:val="0095474E"/>
    <w:rsid w:val="00954B4F"/>
    <w:rsid w:val="00954D44"/>
    <w:rsid w:val="0095542C"/>
    <w:rsid w:val="0095592A"/>
    <w:rsid w:val="00955C81"/>
    <w:rsid w:val="00956026"/>
    <w:rsid w:val="00956893"/>
    <w:rsid w:val="009568F7"/>
    <w:rsid w:val="00956E40"/>
    <w:rsid w:val="00956E88"/>
    <w:rsid w:val="00957560"/>
    <w:rsid w:val="00957FAA"/>
    <w:rsid w:val="00960023"/>
    <w:rsid w:val="00960366"/>
    <w:rsid w:val="009604D7"/>
    <w:rsid w:val="00960F1A"/>
    <w:rsid w:val="009615D4"/>
    <w:rsid w:val="009625F8"/>
    <w:rsid w:val="00962769"/>
    <w:rsid w:val="0096328E"/>
    <w:rsid w:val="009636F0"/>
    <w:rsid w:val="00963767"/>
    <w:rsid w:val="00964647"/>
    <w:rsid w:val="0096558A"/>
    <w:rsid w:val="009658E6"/>
    <w:rsid w:val="0096614A"/>
    <w:rsid w:val="00967349"/>
    <w:rsid w:val="00967C9D"/>
    <w:rsid w:val="009706A8"/>
    <w:rsid w:val="0097080D"/>
    <w:rsid w:val="00970C82"/>
    <w:rsid w:val="0097236F"/>
    <w:rsid w:val="00972CB9"/>
    <w:rsid w:val="009735D8"/>
    <w:rsid w:val="009736F8"/>
    <w:rsid w:val="00974648"/>
    <w:rsid w:val="00974677"/>
    <w:rsid w:val="009746D4"/>
    <w:rsid w:val="0097484F"/>
    <w:rsid w:val="0097517F"/>
    <w:rsid w:val="009758AA"/>
    <w:rsid w:val="00976191"/>
    <w:rsid w:val="00976C4A"/>
    <w:rsid w:val="00977300"/>
    <w:rsid w:val="00980772"/>
    <w:rsid w:val="00980A71"/>
    <w:rsid w:val="00980B20"/>
    <w:rsid w:val="00981206"/>
    <w:rsid w:val="0098134C"/>
    <w:rsid w:val="009815AF"/>
    <w:rsid w:val="0098232C"/>
    <w:rsid w:val="00983432"/>
    <w:rsid w:val="009841E4"/>
    <w:rsid w:val="009842D8"/>
    <w:rsid w:val="00984FF8"/>
    <w:rsid w:val="0098529D"/>
    <w:rsid w:val="00985506"/>
    <w:rsid w:val="00985825"/>
    <w:rsid w:val="0098663C"/>
    <w:rsid w:val="00986843"/>
    <w:rsid w:val="009873D8"/>
    <w:rsid w:val="00987617"/>
    <w:rsid w:val="00987745"/>
    <w:rsid w:val="0098792E"/>
    <w:rsid w:val="00987B0B"/>
    <w:rsid w:val="00987C44"/>
    <w:rsid w:val="00987CC3"/>
    <w:rsid w:val="00987DB2"/>
    <w:rsid w:val="00987FE3"/>
    <w:rsid w:val="009900D3"/>
    <w:rsid w:val="009912CB"/>
    <w:rsid w:val="00991666"/>
    <w:rsid w:val="009919DA"/>
    <w:rsid w:val="00991ACA"/>
    <w:rsid w:val="00991C5F"/>
    <w:rsid w:val="009925A0"/>
    <w:rsid w:val="009928BD"/>
    <w:rsid w:val="009929E6"/>
    <w:rsid w:val="00992B18"/>
    <w:rsid w:val="00992B88"/>
    <w:rsid w:val="00992D44"/>
    <w:rsid w:val="00993179"/>
    <w:rsid w:val="00993265"/>
    <w:rsid w:val="00993603"/>
    <w:rsid w:val="0099439A"/>
    <w:rsid w:val="00995271"/>
    <w:rsid w:val="0099538A"/>
    <w:rsid w:val="0099573D"/>
    <w:rsid w:val="00995977"/>
    <w:rsid w:val="0099656F"/>
    <w:rsid w:val="00996CD7"/>
    <w:rsid w:val="009970ED"/>
    <w:rsid w:val="00997788"/>
    <w:rsid w:val="0099795A"/>
    <w:rsid w:val="00997B0B"/>
    <w:rsid w:val="00997C5D"/>
    <w:rsid w:val="00997E91"/>
    <w:rsid w:val="009A00F0"/>
    <w:rsid w:val="009A129C"/>
    <w:rsid w:val="009A147E"/>
    <w:rsid w:val="009A19C6"/>
    <w:rsid w:val="009A1B0E"/>
    <w:rsid w:val="009A1F21"/>
    <w:rsid w:val="009A21E3"/>
    <w:rsid w:val="009A2BB3"/>
    <w:rsid w:val="009A2F17"/>
    <w:rsid w:val="009A4C5B"/>
    <w:rsid w:val="009A4C8F"/>
    <w:rsid w:val="009A56EC"/>
    <w:rsid w:val="009A5C84"/>
    <w:rsid w:val="009A5F4E"/>
    <w:rsid w:val="009A69B0"/>
    <w:rsid w:val="009A7AEF"/>
    <w:rsid w:val="009A7B81"/>
    <w:rsid w:val="009B03F5"/>
    <w:rsid w:val="009B152D"/>
    <w:rsid w:val="009B1613"/>
    <w:rsid w:val="009B200A"/>
    <w:rsid w:val="009B23FA"/>
    <w:rsid w:val="009B25BA"/>
    <w:rsid w:val="009B2866"/>
    <w:rsid w:val="009B3084"/>
    <w:rsid w:val="009B33FD"/>
    <w:rsid w:val="009B37DE"/>
    <w:rsid w:val="009B438C"/>
    <w:rsid w:val="009B44D9"/>
    <w:rsid w:val="009B5211"/>
    <w:rsid w:val="009B709F"/>
    <w:rsid w:val="009B7803"/>
    <w:rsid w:val="009B793A"/>
    <w:rsid w:val="009B79C1"/>
    <w:rsid w:val="009B7FEF"/>
    <w:rsid w:val="009C095D"/>
    <w:rsid w:val="009C0EA1"/>
    <w:rsid w:val="009C179D"/>
    <w:rsid w:val="009C1C2E"/>
    <w:rsid w:val="009C1CAB"/>
    <w:rsid w:val="009C211F"/>
    <w:rsid w:val="009C26FC"/>
    <w:rsid w:val="009C358C"/>
    <w:rsid w:val="009C36B4"/>
    <w:rsid w:val="009C4627"/>
    <w:rsid w:val="009C4C26"/>
    <w:rsid w:val="009C5A84"/>
    <w:rsid w:val="009C5B56"/>
    <w:rsid w:val="009C5E10"/>
    <w:rsid w:val="009C6900"/>
    <w:rsid w:val="009C6A8C"/>
    <w:rsid w:val="009C6BD1"/>
    <w:rsid w:val="009C6E25"/>
    <w:rsid w:val="009C7BFE"/>
    <w:rsid w:val="009D007B"/>
    <w:rsid w:val="009D071A"/>
    <w:rsid w:val="009D07F2"/>
    <w:rsid w:val="009D09C1"/>
    <w:rsid w:val="009D0E47"/>
    <w:rsid w:val="009D19A9"/>
    <w:rsid w:val="009D1B1A"/>
    <w:rsid w:val="009D205C"/>
    <w:rsid w:val="009D23BB"/>
    <w:rsid w:val="009D24F5"/>
    <w:rsid w:val="009D3320"/>
    <w:rsid w:val="009D3A81"/>
    <w:rsid w:val="009D3A8B"/>
    <w:rsid w:val="009D3B45"/>
    <w:rsid w:val="009D3F89"/>
    <w:rsid w:val="009D41EF"/>
    <w:rsid w:val="009D4716"/>
    <w:rsid w:val="009D5013"/>
    <w:rsid w:val="009D573F"/>
    <w:rsid w:val="009D5D9E"/>
    <w:rsid w:val="009D5E14"/>
    <w:rsid w:val="009D6627"/>
    <w:rsid w:val="009D6794"/>
    <w:rsid w:val="009D6BD2"/>
    <w:rsid w:val="009D6C0B"/>
    <w:rsid w:val="009D6C99"/>
    <w:rsid w:val="009D70DA"/>
    <w:rsid w:val="009D74EA"/>
    <w:rsid w:val="009D7B77"/>
    <w:rsid w:val="009E01B9"/>
    <w:rsid w:val="009E0660"/>
    <w:rsid w:val="009E0857"/>
    <w:rsid w:val="009E189C"/>
    <w:rsid w:val="009E19F8"/>
    <w:rsid w:val="009E1C7C"/>
    <w:rsid w:val="009E25BD"/>
    <w:rsid w:val="009E25E0"/>
    <w:rsid w:val="009E2EA3"/>
    <w:rsid w:val="009E2F26"/>
    <w:rsid w:val="009E3F9C"/>
    <w:rsid w:val="009E436F"/>
    <w:rsid w:val="009E45E9"/>
    <w:rsid w:val="009E528E"/>
    <w:rsid w:val="009E5923"/>
    <w:rsid w:val="009E5EC0"/>
    <w:rsid w:val="009E6264"/>
    <w:rsid w:val="009E655E"/>
    <w:rsid w:val="009E65E5"/>
    <w:rsid w:val="009E6F4F"/>
    <w:rsid w:val="009E7325"/>
    <w:rsid w:val="009E7386"/>
    <w:rsid w:val="009E74D9"/>
    <w:rsid w:val="009F0750"/>
    <w:rsid w:val="009F0BE9"/>
    <w:rsid w:val="009F0CFE"/>
    <w:rsid w:val="009F1A14"/>
    <w:rsid w:val="009F1F04"/>
    <w:rsid w:val="009F273D"/>
    <w:rsid w:val="009F2D00"/>
    <w:rsid w:val="009F37DB"/>
    <w:rsid w:val="009F3B43"/>
    <w:rsid w:val="009F4F48"/>
    <w:rsid w:val="009F588C"/>
    <w:rsid w:val="009F5B30"/>
    <w:rsid w:val="009F5CDD"/>
    <w:rsid w:val="009F68E5"/>
    <w:rsid w:val="009F6945"/>
    <w:rsid w:val="009F69D8"/>
    <w:rsid w:val="009F6AC6"/>
    <w:rsid w:val="009F6B98"/>
    <w:rsid w:val="009F6CB6"/>
    <w:rsid w:val="009F7249"/>
    <w:rsid w:val="009F7692"/>
    <w:rsid w:val="00A005B5"/>
    <w:rsid w:val="00A00AC4"/>
    <w:rsid w:val="00A00D84"/>
    <w:rsid w:val="00A014E5"/>
    <w:rsid w:val="00A015A6"/>
    <w:rsid w:val="00A01695"/>
    <w:rsid w:val="00A01CAF"/>
    <w:rsid w:val="00A02AD3"/>
    <w:rsid w:val="00A03B48"/>
    <w:rsid w:val="00A0449D"/>
    <w:rsid w:val="00A0470B"/>
    <w:rsid w:val="00A04B7E"/>
    <w:rsid w:val="00A04E33"/>
    <w:rsid w:val="00A05D0C"/>
    <w:rsid w:val="00A05FF4"/>
    <w:rsid w:val="00A062A8"/>
    <w:rsid w:val="00A06651"/>
    <w:rsid w:val="00A06B23"/>
    <w:rsid w:val="00A06BB3"/>
    <w:rsid w:val="00A06CD2"/>
    <w:rsid w:val="00A06DF8"/>
    <w:rsid w:val="00A06EDA"/>
    <w:rsid w:val="00A0712E"/>
    <w:rsid w:val="00A0714C"/>
    <w:rsid w:val="00A075D1"/>
    <w:rsid w:val="00A07CFA"/>
    <w:rsid w:val="00A1031A"/>
    <w:rsid w:val="00A10907"/>
    <w:rsid w:val="00A10B2B"/>
    <w:rsid w:val="00A10F6A"/>
    <w:rsid w:val="00A11072"/>
    <w:rsid w:val="00A115BE"/>
    <w:rsid w:val="00A115C1"/>
    <w:rsid w:val="00A11C2F"/>
    <w:rsid w:val="00A124AB"/>
    <w:rsid w:val="00A125C6"/>
    <w:rsid w:val="00A12A3F"/>
    <w:rsid w:val="00A12E33"/>
    <w:rsid w:val="00A13358"/>
    <w:rsid w:val="00A13625"/>
    <w:rsid w:val="00A13664"/>
    <w:rsid w:val="00A13858"/>
    <w:rsid w:val="00A1387C"/>
    <w:rsid w:val="00A139C5"/>
    <w:rsid w:val="00A14085"/>
    <w:rsid w:val="00A1452A"/>
    <w:rsid w:val="00A14554"/>
    <w:rsid w:val="00A1483C"/>
    <w:rsid w:val="00A14C01"/>
    <w:rsid w:val="00A14C55"/>
    <w:rsid w:val="00A152BA"/>
    <w:rsid w:val="00A15783"/>
    <w:rsid w:val="00A15902"/>
    <w:rsid w:val="00A15E1E"/>
    <w:rsid w:val="00A16286"/>
    <w:rsid w:val="00A165A5"/>
    <w:rsid w:val="00A16AF8"/>
    <w:rsid w:val="00A16E0E"/>
    <w:rsid w:val="00A1735B"/>
    <w:rsid w:val="00A17550"/>
    <w:rsid w:val="00A176BE"/>
    <w:rsid w:val="00A17ACC"/>
    <w:rsid w:val="00A17E7F"/>
    <w:rsid w:val="00A202EB"/>
    <w:rsid w:val="00A20BD4"/>
    <w:rsid w:val="00A20C4C"/>
    <w:rsid w:val="00A21861"/>
    <w:rsid w:val="00A21AD0"/>
    <w:rsid w:val="00A21FAD"/>
    <w:rsid w:val="00A220F6"/>
    <w:rsid w:val="00A222C2"/>
    <w:rsid w:val="00A225AF"/>
    <w:rsid w:val="00A225BF"/>
    <w:rsid w:val="00A22EF2"/>
    <w:rsid w:val="00A22F2D"/>
    <w:rsid w:val="00A23349"/>
    <w:rsid w:val="00A235FC"/>
    <w:rsid w:val="00A23670"/>
    <w:rsid w:val="00A236F6"/>
    <w:rsid w:val="00A23804"/>
    <w:rsid w:val="00A23E59"/>
    <w:rsid w:val="00A24255"/>
    <w:rsid w:val="00A2434E"/>
    <w:rsid w:val="00A24378"/>
    <w:rsid w:val="00A2451F"/>
    <w:rsid w:val="00A24EF4"/>
    <w:rsid w:val="00A26683"/>
    <w:rsid w:val="00A26951"/>
    <w:rsid w:val="00A26BC2"/>
    <w:rsid w:val="00A26CAB"/>
    <w:rsid w:val="00A274A7"/>
    <w:rsid w:val="00A27728"/>
    <w:rsid w:val="00A30B9F"/>
    <w:rsid w:val="00A324AA"/>
    <w:rsid w:val="00A326AE"/>
    <w:rsid w:val="00A3280E"/>
    <w:rsid w:val="00A32DBF"/>
    <w:rsid w:val="00A33329"/>
    <w:rsid w:val="00A33816"/>
    <w:rsid w:val="00A339FF"/>
    <w:rsid w:val="00A33D14"/>
    <w:rsid w:val="00A33E39"/>
    <w:rsid w:val="00A33F4A"/>
    <w:rsid w:val="00A34C01"/>
    <w:rsid w:val="00A34C8B"/>
    <w:rsid w:val="00A3551D"/>
    <w:rsid w:val="00A359D0"/>
    <w:rsid w:val="00A3642F"/>
    <w:rsid w:val="00A36948"/>
    <w:rsid w:val="00A36D09"/>
    <w:rsid w:val="00A370C3"/>
    <w:rsid w:val="00A37607"/>
    <w:rsid w:val="00A37B2C"/>
    <w:rsid w:val="00A405E6"/>
    <w:rsid w:val="00A412F1"/>
    <w:rsid w:val="00A42082"/>
    <w:rsid w:val="00A42194"/>
    <w:rsid w:val="00A422C8"/>
    <w:rsid w:val="00A42744"/>
    <w:rsid w:val="00A42C52"/>
    <w:rsid w:val="00A4450F"/>
    <w:rsid w:val="00A4488A"/>
    <w:rsid w:val="00A45507"/>
    <w:rsid w:val="00A455BC"/>
    <w:rsid w:val="00A455C2"/>
    <w:rsid w:val="00A46165"/>
    <w:rsid w:val="00A46E36"/>
    <w:rsid w:val="00A46F9E"/>
    <w:rsid w:val="00A4707F"/>
    <w:rsid w:val="00A4714A"/>
    <w:rsid w:val="00A471C4"/>
    <w:rsid w:val="00A476EF"/>
    <w:rsid w:val="00A50927"/>
    <w:rsid w:val="00A50AA4"/>
    <w:rsid w:val="00A50EAB"/>
    <w:rsid w:val="00A517F9"/>
    <w:rsid w:val="00A51CC0"/>
    <w:rsid w:val="00A51E7F"/>
    <w:rsid w:val="00A51ED1"/>
    <w:rsid w:val="00A51EF1"/>
    <w:rsid w:val="00A5226E"/>
    <w:rsid w:val="00A53086"/>
    <w:rsid w:val="00A53241"/>
    <w:rsid w:val="00A5404E"/>
    <w:rsid w:val="00A5408E"/>
    <w:rsid w:val="00A5433E"/>
    <w:rsid w:val="00A54815"/>
    <w:rsid w:val="00A54E43"/>
    <w:rsid w:val="00A564D3"/>
    <w:rsid w:val="00A56603"/>
    <w:rsid w:val="00A56639"/>
    <w:rsid w:val="00A5666A"/>
    <w:rsid w:val="00A56971"/>
    <w:rsid w:val="00A56A37"/>
    <w:rsid w:val="00A56ADC"/>
    <w:rsid w:val="00A56C6E"/>
    <w:rsid w:val="00A6002B"/>
    <w:rsid w:val="00A6018D"/>
    <w:rsid w:val="00A602E7"/>
    <w:rsid w:val="00A60730"/>
    <w:rsid w:val="00A60A20"/>
    <w:rsid w:val="00A61570"/>
    <w:rsid w:val="00A615B1"/>
    <w:rsid w:val="00A615DD"/>
    <w:rsid w:val="00A61A00"/>
    <w:rsid w:val="00A62726"/>
    <w:rsid w:val="00A635AD"/>
    <w:rsid w:val="00A63E2F"/>
    <w:rsid w:val="00A63E66"/>
    <w:rsid w:val="00A65015"/>
    <w:rsid w:val="00A6529E"/>
    <w:rsid w:val="00A6545C"/>
    <w:rsid w:val="00A66275"/>
    <w:rsid w:val="00A66457"/>
    <w:rsid w:val="00A66DF3"/>
    <w:rsid w:val="00A673D1"/>
    <w:rsid w:val="00A67920"/>
    <w:rsid w:val="00A67A14"/>
    <w:rsid w:val="00A7014A"/>
    <w:rsid w:val="00A7084F"/>
    <w:rsid w:val="00A70906"/>
    <w:rsid w:val="00A7116B"/>
    <w:rsid w:val="00A7169B"/>
    <w:rsid w:val="00A71E29"/>
    <w:rsid w:val="00A72242"/>
    <w:rsid w:val="00A722A8"/>
    <w:rsid w:val="00A73265"/>
    <w:rsid w:val="00A73BED"/>
    <w:rsid w:val="00A747EC"/>
    <w:rsid w:val="00A74AF9"/>
    <w:rsid w:val="00A74BC6"/>
    <w:rsid w:val="00A74DC1"/>
    <w:rsid w:val="00A74E6E"/>
    <w:rsid w:val="00A74E9B"/>
    <w:rsid w:val="00A753E8"/>
    <w:rsid w:val="00A75905"/>
    <w:rsid w:val="00A75EE9"/>
    <w:rsid w:val="00A76063"/>
    <w:rsid w:val="00A76620"/>
    <w:rsid w:val="00A7665C"/>
    <w:rsid w:val="00A76FA5"/>
    <w:rsid w:val="00A77135"/>
    <w:rsid w:val="00A7768B"/>
    <w:rsid w:val="00A77ABB"/>
    <w:rsid w:val="00A804B6"/>
    <w:rsid w:val="00A80767"/>
    <w:rsid w:val="00A80A21"/>
    <w:rsid w:val="00A80B60"/>
    <w:rsid w:val="00A818DC"/>
    <w:rsid w:val="00A8297A"/>
    <w:rsid w:val="00A829A1"/>
    <w:rsid w:val="00A82D44"/>
    <w:rsid w:val="00A82DD6"/>
    <w:rsid w:val="00A833AD"/>
    <w:rsid w:val="00A83655"/>
    <w:rsid w:val="00A83DAD"/>
    <w:rsid w:val="00A83EEF"/>
    <w:rsid w:val="00A84346"/>
    <w:rsid w:val="00A85404"/>
    <w:rsid w:val="00A85D71"/>
    <w:rsid w:val="00A85FBD"/>
    <w:rsid w:val="00A86209"/>
    <w:rsid w:val="00A87283"/>
    <w:rsid w:val="00A90151"/>
    <w:rsid w:val="00A9022B"/>
    <w:rsid w:val="00A902DE"/>
    <w:rsid w:val="00A90635"/>
    <w:rsid w:val="00A90AC7"/>
    <w:rsid w:val="00A90B0B"/>
    <w:rsid w:val="00A90D3C"/>
    <w:rsid w:val="00A90EDF"/>
    <w:rsid w:val="00A916ED"/>
    <w:rsid w:val="00A91824"/>
    <w:rsid w:val="00A929BC"/>
    <w:rsid w:val="00A930BD"/>
    <w:rsid w:val="00A9318E"/>
    <w:rsid w:val="00A9359B"/>
    <w:rsid w:val="00A93B6D"/>
    <w:rsid w:val="00A93E1C"/>
    <w:rsid w:val="00A941F9"/>
    <w:rsid w:val="00A94528"/>
    <w:rsid w:val="00A94F04"/>
    <w:rsid w:val="00A9528E"/>
    <w:rsid w:val="00A9532F"/>
    <w:rsid w:val="00A954B0"/>
    <w:rsid w:val="00A959ED"/>
    <w:rsid w:val="00A95CD7"/>
    <w:rsid w:val="00A96604"/>
    <w:rsid w:val="00A968A5"/>
    <w:rsid w:val="00A96B6E"/>
    <w:rsid w:val="00A96D0A"/>
    <w:rsid w:val="00A978B7"/>
    <w:rsid w:val="00A978CC"/>
    <w:rsid w:val="00A97D17"/>
    <w:rsid w:val="00AA0704"/>
    <w:rsid w:val="00AA0BEF"/>
    <w:rsid w:val="00AA163B"/>
    <w:rsid w:val="00AA1863"/>
    <w:rsid w:val="00AA1DD2"/>
    <w:rsid w:val="00AA23E8"/>
    <w:rsid w:val="00AA25AB"/>
    <w:rsid w:val="00AA27D6"/>
    <w:rsid w:val="00AA2BC9"/>
    <w:rsid w:val="00AA2EA0"/>
    <w:rsid w:val="00AA30D8"/>
    <w:rsid w:val="00AA341E"/>
    <w:rsid w:val="00AA3EB4"/>
    <w:rsid w:val="00AA40F0"/>
    <w:rsid w:val="00AA4A04"/>
    <w:rsid w:val="00AA4B38"/>
    <w:rsid w:val="00AA55F5"/>
    <w:rsid w:val="00AA622B"/>
    <w:rsid w:val="00AA69AC"/>
    <w:rsid w:val="00AA6C46"/>
    <w:rsid w:val="00AA6DA5"/>
    <w:rsid w:val="00AA7B71"/>
    <w:rsid w:val="00AA7D41"/>
    <w:rsid w:val="00AA7ED4"/>
    <w:rsid w:val="00AA7F68"/>
    <w:rsid w:val="00AB0667"/>
    <w:rsid w:val="00AB17B4"/>
    <w:rsid w:val="00AB1A7B"/>
    <w:rsid w:val="00AB1FB0"/>
    <w:rsid w:val="00AB2BDE"/>
    <w:rsid w:val="00AB3211"/>
    <w:rsid w:val="00AB3367"/>
    <w:rsid w:val="00AB3A2C"/>
    <w:rsid w:val="00AB3B45"/>
    <w:rsid w:val="00AB40B2"/>
    <w:rsid w:val="00AB4423"/>
    <w:rsid w:val="00AB4AA3"/>
    <w:rsid w:val="00AB4D1D"/>
    <w:rsid w:val="00AB4E04"/>
    <w:rsid w:val="00AB515F"/>
    <w:rsid w:val="00AB5A1C"/>
    <w:rsid w:val="00AB601C"/>
    <w:rsid w:val="00AB6165"/>
    <w:rsid w:val="00AB6387"/>
    <w:rsid w:val="00AB65B8"/>
    <w:rsid w:val="00AB74D3"/>
    <w:rsid w:val="00AC0558"/>
    <w:rsid w:val="00AC086A"/>
    <w:rsid w:val="00AC09E5"/>
    <w:rsid w:val="00AC0AB4"/>
    <w:rsid w:val="00AC1381"/>
    <w:rsid w:val="00AC2E94"/>
    <w:rsid w:val="00AC2EEC"/>
    <w:rsid w:val="00AC3295"/>
    <w:rsid w:val="00AC4ABA"/>
    <w:rsid w:val="00AC5BC3"/>
    <w:rsid w:val="00AC6142"/>
    <w:rsid w:val="00AC635D"/>
    <w:rsid w:val="00AC6501"/>
    <w:rsid w:val="00AD08C6"/>
    <w:rsid w:val="00AD09A5"/>
    <w:rsid w:val="00AD0A0B"/>
    <w:rsid w:val="00AD0B62"/>
    <w:rsid w:val="00AD0D4E"/>
    <w:rsid w:val="00AD1048"/>
    <w:rsid w:val="00AD17E5"/>
    <w:rsid w:val="00AD1ADC"/>
    <w:rsid w:val="00AD252C"/>
    <w:rsid w:val="00AD25EC"/>
    <w:rsid w:val="00AD26A8"/>
    <w:rsid w:val="00AD280F"/>
    <w:rsid w:val="00AD34AB"/>
    <w:rsid w:val="00AD393D"/>
    <w:rsid w:val="00AD3E8E"/>
    <w:rsid w:val="00AD43E2"/>
    <w:rsid w:val="00AD5C8B"/>
    <w:rsid w:val="00AD5E4E"/>
    <w:rsid w:val="00AD609B"/>
    <w:rsid w:val="00AD6DF0"/>
    <w:rsid w:val="00AD7228"/>
    <w:rsid w:val="00AD74D6"/>
    <w:rsid w:val="00AD789B"/>
    <w:rsid w:val="00AD7E96"/>
    <w:rsid w:val="00AD7FD7"/>
    <w:rsid w:val="00AE006A"/>
    <w:rsid w:val="00AE0260"/>
    <w:rsid w:val="00AE078C"/>
    <w:rsid w:val="00AE143E"/>
    <w:rsid w:val="00AE14C1"/>
    <w:rsid w:val="00AE18C4"/>
    <w:rsid w:val="00AE1B29"/>
    <w:rsid w:val="00AE1BC6"/>
    <w:rsid w:val="00AE2047"/>
    <w:rsid w:val="00AE2152"/>
    <w:rsid w:val="00AE234C"/>
    <w:rsid w:val="00AE2367"/>
    <w:rsid w:val="00AE2B36"/>
    <w:rsid w:val="00AE38F0"/>
    <w:rsid w:val="00AE394A"/>
    <w:rsid w:val="00AE3AFB"/>
    <w:rsid w:val="00AE4FE0"/>
    <w:rsid w:val="00AE5107"/>
    <w:rsid w:val="00AE57E0"/>
    <w:rsid w:val="00AE5AE2"/>
    <w:rsid w:val="00AE5D4E"/>
    <w:rsid w:val="00AE681B"/>
    <w:rsid w:val="00AE6E5E"/>
    <w:rsid w:val="00AE7A16"/>
    <w:rsid w:val="00AE7A5D"/>
    <w:rsid w:val="00AF0757"/>
    <w:rsid w:val="00AF082D"/>
    <w:rsid w:val="00AF1057"/>
    <w:rsid w:val="00AF10C5"/>
    <w:rsid w:val="00AF140C"/>
    <w:rsid w:val="00AF1E14"/>
    <w:rsid w:val="00AF299F"/>
    <w:rsid w:val="00AF3053"/>
    <w:rsid w:val="00AF32AC"/>
    <w:rsid w:val="00AF3615"/>
    <w:rsid w:val="00AF3627"/>
    <w:rsid w:val="00AF4437"/>
    <w:rsid w:val="00AF4493"/>
    <w:rsid w:val="00AF4596"/>
    <w:rsid w:val="00AF4CDC"/>
    <w:rsid w:val="00AF4F98"/>
    <w:rsid w:val="00AF55EB"/>
    <w:rsid w:val="00AF5A58"/>
    <w:rsid w:val="00AF5C9F"/>
    <w:rsid w:val="00AF6C31"/>
    <w:rsid w:val="00AF6D53"/>
    <w:rsid w:val="00AF6F95"/>
    <w:rsid w:val="00AF7FA6"/>
    <w:rsid w:val="00AF7FA9"/>
    <w:rsid w:val="00AF7FC1"/>
    <w:rsid w:val="00B008C5"/>
    <w:rsid w:val="00B00C5B"/>
    <w:rsid w:val="00B00EB1"/>
    <w:rsid w:val="00B00EB6"/>
    <w:rsid w:val="00B01626"/>
    <w:rsid w:val="00B02069"/>
    <w:rsid w:val="00B023AF"/>
    <w:rsid w:val="00B02F80"/>
    <w:rsid w:val="00B03708"/>
    <w:rsid w:val="00B040D0"/>
    <w:rsid w:val="00B04712"/>
    <w:rsid w:val="00B04BCB"/>
    <w:rsid w:val="00B05154"/>
    <w:rsid w:val="00B0524D"/>
    <w:rsid w:val="00B0540E"/>
    <w:rsid w:val="00B05CBE"/>
    <w:rsid w:val="00B060C6"/>
    <w:rsid w:val="00B069DB"/>
    <w:rsid w:val="00B06E40"/>
    <w:rsid w:val="00B070FD"/>
    <w:rsid w:val="00B07BB4"/>
    <w:rsid w:val="00B1005C"/>
    <w:rsid w:val="00B10564"/>
    <w:rsid w:val="00B10DC7"/>
    <w:rsid w:val="00B114B9"/>
    <w:rsid w:val="00B11510"/>
    <w:rsid w:val="00B11B09"/>
    <w:rsid w:val="00B12BC5"/>
    <w:rsid w:val="00B12E33"/>
    <w:rsid w:val="00B13530"/>
    <w:rsid w:val="00B13848"/>
    <w:rsid w:val="00B1391D"/>
    <w:rsid w:val="00B1398C"/>
    <w:rsid w:val="00B14536"/>
    <w:rsid w:val="00B1487A"/>
    <w:rsid w:val="00B14A06"/>
    <w:rsid w:val="00B14E3F"/>
    <w:rsid w:val="00B17A60"/>
    <w:rsid w:val="00B17EEB"/>
    <w:rsid w:val="00B202FB"/>
    <w:rsid w:val="00B2065B"/>
    <w:rsid w:val="00B20998"/>
    <w:rsid w:val="00B20DD6"/>
    <w:rsid w:val="00B212AD"/>
    <w:rsid w:val="00B21554"/>
    <w:rsid w:val="00B22079"/>
    <w:rsid w:val="00B2239A"/>
    <w:rsid w:val="00B235B0"/>
    <w:rsid w:val="00B23603"/>
    <w:rsid w:val="00B24493"/>
    <w:rsid w:val="00B24903"/>
    <w:rsid w:val="00B25830"/>
    <w:rsid w:val="00B25CA7"/>
    <w:rsid w:val="00B25D0E"/>
    <w:rsid w:val="00B25D9D"/>
    <w:rsid w:val="00B2663A"/>
    <w:rsid w:val="00B2757C"/>
    <w:rsid w:val="00B279C6"/>
    <w:rsid w:val="00B27EFB"/>
    <w:rsid w:val="00B31434"/>
    <w:rsid w:val="00B3181D"/>
    <w:rsid w:val="00B328BD"/>
    <w:rsid w:val="00B32924"/>
    <w:rsid w:val="00B32B76"/>
    <w:rsid w:val="00B32D6C"/>
    <w:rsid w:val="00B337BB"/>
    <w:rsid w:val="00B33B2A"/>
    <w:rsid w:val="00B33CB8"/>
    <w:rsid w:val="00B3404D"/>
    <w:rsid w:val="00B340D1"/>
    <w:rsid w:val="00B34B0F"/>
    <w:rsid w:val="00B34E06"/>
    <w:rsid w:val="00B354DF"/>
    <w:rsid w:val="00B368CA"/>
    <w:rsid w:val="00B36E43"/>
    <w:rsid w:val="00B373B4"/>
    <w:rsid w:val="00B3749D"/>
    <w:rsid w:val="00B375BC"/>
    <w:rsid w:val="00B3769F"/>
    <w:rsid w:val="00B37E80"/>
    <w:rsid w:val="00B40000"/>
    <w:rsid w:val="00B4037B"/>
    <w:rsid w:val="00B41171"/>
    <w:rsid w:val="00B41367"/>
    <w:rsid w:val="00B41603"/>
    <w:rsid w:val="00B418DE"/>
    <w:rsid w:val="00B41C57"/>
    <w:rsid w:val="00B41D3D"/>
    <w:rsid w:val="00B4246D"/>
    <w:rsid w:val="00B4334E"/>
    <w:rsid w:val="00B436F5"/>
    <w:rsid w:val="00B43A5C"/>
    <w:rsid w:val="00B440EF"/>
    <w:rsid w:val="00B449A0"/>
    <w:rsid w:val="00B44B6D"/>
    <w:rsid w:val="00B450C0"/>
    <w:rsid w:val="00B4523C"/>
    <w:rsid w:val="00B4598C"/>
    <w:rsid w:val="00B46779"/>
    <w:rsid w:val="00B46FB1"/>
    <w:rsid w:val="00B470C6"/>
    <w:rsid w:val="00B471E8"/>
    <w:rsid w:val="00B5032D"/>
    <w:rsid w:val="00B50374"/>
    <w:rsid w:val="00B50A7C"/>
    <w:rsid w:val="00B50F42"/>
    <w:rsid w:val="00B50F8B"/>
    <w:rsid w:val="00B51DA5"/>
    <w:rsid w:val="00B5225D"/>
    <w:rsid w:val="00B52624"/>
    <w:rsid w:val="00B52AFD"/>
    <w:rsid w:val="00B53737"/>
    <w:rsid w:val="00B5382B"/>
    <w:rsid w:val="00B54037"/>
    <w:rsid w:val="00B541A5"/>
    <w:rsid w:val="00B54229"/>
    <w:rsid w:val="00B54A23"/>
    <w:rsid w:val="00B54E4B"/>
    <w:rsid w:val="00B54F36"/>
    <w:rsid w:val="00B54F8E"/>
    <w:rsid w:val="00B550F2"/>
    <w:rsid w:val="00B557FE"/>
    <w:rsid w:val="00B55DCE"/>
    <w:rsid w:val="00B5655A"/>
    <w:rsid w:val="00B5721C"/>
    <w:rsid w:val="00B5764D"/>
    <w:rsid w:val="00B57E10"/>
    <w:rsid w:val="00B6038A"/>
    <w:rsid w:val="00B60C1C"/>
    <w:rsid w:val="00B61924"/>
    <w:rsid w:val="00B61C98"/>
    <w:rsid w:val="00B61CE2"/>
    <w:rsid w:val="00B626AA"/>
    <w:rsid w:val="00B62EE7"/>
    <w:rsid w:val="00B62FDD"/>
    <w:rsid w:val="00B6309B"/>
    <w:rsid w:val="00B63245"/>
    <w:rsid w:val="00B632E8"/>
    <w:rsid w:val="00B63472"/>
    <w:rsid w:val="00B646DE"/>
    <w:rsid w:val="00B648DD"/>
    <w:rsid w:val="00B64BCC"/>
    <w:rsid w:val="00B64BF0"/>
    <w:rsid w:val="00B6554D"/>
    <w:rsid w:val="00B6594D"/>
    <w:rsid w:val="00B65C0B"/>
    <w:rsid w:val="00B65DAA"/>
    <w:rsid w:val="00B65DF0"/>
    <w:rsid w:val="00B65EB0"/>
    <w:rsid w:val="00B65FD5"/>
    <w:rsid w:val="00B6666F"/>
    <w:rsid w:val="00B6673F"/>
    <w:rsid w:val="00B66B2F"/>
    <w:rsid w:val="00B67068"/>
    <w:rsid w:val="00B6758F"/>
    <w:rsid w:val="00B67802"/>
    <w:rsid w:val="00B67F02"/>
    <w:rsid w:val="00B7016D"/>
    <w:rsid w:val="00B703E4"/>
    <w:rsid w:val="00B70842"/>
    <w:rsid w:val="00B710B8"/>
    <w:rsid w:val="00B72490"/>
    <w:rsid w:val="00B72A18"/>
    <w:rsid w:val="00B732C3"/>
    <w:rsid w:val="00B734C0"/>
    <w:rsid w:val="00B73912"/>
    <w:rsid w:val="00B73EAD"/>
    <w:rsid w:val="00B744B0"/>
    <w:rsid w:val="00B747D5"/>
    <w:rsid w:val="00B74F7F"/>
    <w:rsid w:val="00B75A7B"/>
    <w:rsid w:val="00B75B08"/>
    <w:rsid w:val="00B7665A"/>
    <w:rsid w:val="00B76976"/>
    <w:rsid w:val="00B769E6"/>
    <w:rsid w:val="00B76D74"/>
    <w:rsid w:val="00B775D1"/>
    <w:rsid w:val="00B776F7"/>
    <w:rsid w:val="00B77E93"/>
    <w:rsid w:val="00B8030C"/>
    <w:rsid w:val="00B8044B"/>
    <w:rsid w:val="00B8055C"/>
    <w:rsid w:val="00B8057C"/>
    <w:rsid w:val="00B80961"/>
    <w:rsid w:val="00B837FF"/>
    <w:rsid w:val="00B83C7E"/>
    <w:rsid w:val="00B845BA"/>
    <w:rsid w:val="00B84C6C"/>
    <w:rsid w:val="00B8508F"/>
    <w:rsid w:val="00B8512E"/>
    <w:rsid w:val="00B8531C"/>
    <w:rsid w:val="00B85852"/>
    <w:rsid w:val="00B85F9C"/>
    <w:rsid w:val="00B86406"/>
    <w:rsid w:val="00B86771"/>
    <w:rsid w:val="00B86BF7"/>
    <w:rsid w:val="00B87859"/>
    <w:rsid w:val="00B87CA5"/>
    <w:rsid w:val="00B903FD"/>
    <w:rsid w:val="00B91D47"/>
    <w:rsid w:val="00B91E44"/>
    <w:rsid w:val="00B92707"/>
    <w:rsid w:val="00B928DA"/>
    <w:rsid w:val="00B929AC"/>
    <w:rsid w:val="00B92FCB"/>
    <w:rsid w:val="00B93A10"/>
    <w:rsid w:val="00B93D26"/>
    <w:rsid w:val="00B94011"/>
    <w:rsid w:val="00B94629"/>
    <w:rsid w:val="00B94E62"/>
    <w:rsid w:val="00B94F1F"/>
    <w:rsid w:val="00B952EA"/>
    <w:rsid w:val="00B95446"/>
    <w:rsid w:val="00B95653"/>
    <w:rsid w:val="00B9584B"/>
    <w:rsid w:val="00B95A41"/>
    <w:rsid w:val="00B96B18"/>
    <w:rsid w:val="00B973DB"/>
    <w:rsid w:val="00B977D3"/>
    <w:rsid w:val="00B97C66"/>
    <w:rsid w:val="00BA099B"/>
    <w:rsid w:val="00BA0E6F"/>
    <w:rsid w:val="00BA1060"/>
    <w:rsid w:val="00BA10F5"/>
    <w:rsid w:val="00BA1295"/>
    <w:rsid w:val="00BA179E"/>
    <w:rsid w:val="00BA30A9"/>
    <w:rsid w:val="00BA3208"/>
    <w:rsid w:val="00BA33AC"/>
    <w:rsid w:val="00BA3CB8"/>
    <w:rsid w:val="00BA3F5E"/>
    <w:rsid w:val="00BA4176"/>
    <w:rsid w:val="00BA4C45"/>
    <w:rsid w:val="00BA4E06"/>
    <w:rsid w:val="00BA5064"/>
    <w:rsid w:val="00BA5225"/>
    <w:rsid w:val="00BA5338"/>
    <w:rsid w:val="00BA58D2"/>
    <w:rsid w:val="00BA647E"/>
    <w:rsid w:val="00BA6DFE"/>
    <w:rsid w:val="00BA7623"/>
    <w:rsid w:val="00BA78ED"/>
    <w:rsid w:val="00BB0225"/>
    <w:rsid w:val="00BB0A4F"/>
    <w:rsid w:val="00BB17F1"/>
    <w:rsid w:val="00BB19E7"/>
    <w:rsid w:val="00BB2704"/>
    <w:rsid w:val="00BB2849"/>
    <w:rsid w:val="00BB29BB"/>
    <w:rsid w:val="00BB2A23"/>
    <w:rsid w:val="00BB2B84"/>
    <w:rsid w:val="00BB3E68"/>
    <w:rsid w:val="00BB43B0"/>
    <w:rsid w:val="00BB4460"/>
    <w:rsid w:val="00BB49E6"/>
    <w:rsid w:val="00BB4A57"/>
    <w:rsid w:val="00BB4A67"/>
    <w:rsid w:val="00BB501D"/>
    <w:rsid w:val="00BB5CEC"/>
    <w:rsid w:val="00BB6129"/>
    <w:rsid w:val="00BB65EF"/>
    <w:rsid w:val="00BB689A"/>
    <w:rsid w:val="00BB6C1F"/>
    <w:rsid w:val="00BB7309"/>
    <w:rsid w:val="00BB753D"/>
    <w:rsid w:val="00BB76B9"/>
    <w:rsid w:val="00BB7B6F"/>
    <w:rsid w:val="00BB7D51"/>
    <w:rsid w:val="00BB7EE4"/>
    <w:rsid w:val="00BC001E"/>
    <w:rsid w:val="00BC036E"/>
    <w:rsid w:val="00BC0382"/>
    <w:rsid w:val="00BC11B8"/>
    <w:rsid w:val="00BC1612"/>
    <w:rsid w:val="00BC1EFB"/>
    <w:rsid w:val="00BC236A"/>
    <w:rsid w:val="00BC2682"/>
    <w:rsid w:val="00BC27F5"/>
    <w:rsid w:val="00BC2982"/>
    <w:rsid w:val="00BC2ADF"/>
    <w:rsid w:val="00BC3179"/>
    <w:rsid w:val="00BC3632"/>
    <w:rsid w:val="00BC3935"/>
    <w:rsid w:val="00BC39B5"/>
    <w:rsid w:val="00BC3FE1"/>
    <w:rsid w:val="00BC4167"/>
    <w:rsid w:val="00BC4AC5"/>
    <w:rsid w:val="00BC4E10"/>
    <w:rsid w:val="00BC51C4"/>
    <w:rsid w:val="00BC5288"/>
    <w:rsid w:val="00BC575E"/>
    <w:rsid w:val="00BC594B"/>
    <w:rsid w:val="00BC5A78"/>
    <w:rsid w:val="00BC6265"/>
    <w:rsid w:val="00BC62BE"/>
    <w:rsid w:val="00BC67FF"/>
    <w:rsid w:val="00BC6B0F"/>
    <w:rsid w:val="00BC6BD9"/>
    <w:rsid w:val="00BC7DEB"/>
    <w:rsid w:val="00BD00CF"/>
    <w:rsid w:val="00BD0165"/>
    <w:rsid w:val="00BD06C5"/>
    <w:rsid w:val="00BD128D"/>
    <w:rsid w:val="00BD1A47"/>
    <w:rsid w:val="00BD1EA0"/>
    <w:rsid w:val="00BD25D1"/>
    <w:rsid w:val="00BD2F9C"/>
    <w:rsid w:val="00BD34DE"/>
    <w:rsid w:val="00BD3AF9"/>
    <w:rsid w:val="00BD4833"/>
    <w:rsid w:val="00BD4CA7"/>
    <w:rsid w:val="00BD6E11"/>
    <w:rsid w:val="00BD7508"/>
    <w:rsid w:val="00BD7D96"/>
    <w:rsid w:val="00BE0117"/>
    <w:rsid w:val="00BE06CE"/>
    <w:rsid w:val="00BE0717"/>
    <w:rsid w:val="00BE0D6F"/>
    <w:rsid w:val="00BE0F4D"/>
    <w:rsid w:val="00BE1995"/>
    <w:rsid w:val="00BE1A1C"/>
    <w:rsid w:val="00BE2122"/>
    <w:rsid w:val="00BE2494"/>
    <w:rsid w:val="00BE26B5"/>
    <w:rsid w:val="00BE2C3B"/>
    <w:rsid w:val="00BE329C"/>
    <w:rsid w:val="00BE421D"/>
    <w:rsid w:val="00BE57EF"/>
    <w:rsid w:val="00BE6118"/>
    <w:rsid w:val="00BE6D75"/>
    <w:rsid w:val="00BE6F34"/>
    <w:rsid w:val="00BE6FBD"/>
    <w:rsid w:val="00BE7B83"/>
    <w:rsid w:val="00BE7FBF"/>
    <w:rsid w:val="00BF03EC"/>
    <w:rsid w:val="00BF10ED"/>
    <w:rsid w:val="00BF1A53"/>
    <w:rsid w:val="00BF1AC8"/>
    <w:rsid w:val="00BF1E8E"/>
    <w:rsid w:val="00BF2378"/>
    <w:rsid w:val="00BF2C01"/>
    <w:rsid w:val="00BF2FDF"/>
    <w:rsid w:val="00BF35E1"/>
    <w:rsid w:val="00BF3DB9"/>
    <w:rsid w:val="00BF4413"/>
    <w:rsid w:val="00BF450E"/>
    <w:rsid w:val="00BF460B"/>
    <w:rsid w:val="00BF49E9"/>
    <w:rsid w:val="00BF4FEA"/>
    <w:rsid w:val="00BF55F4"/>
    <w:rsid w:val="00BF57C6"/>
    <w:rsid w:val="00BF59BC"/>
    <w:rsid w:val="00BF5CE3"/>
    <w:rsid w:val="00BF60FC"/>
    <w:rsid w:val="00BF65BD"/>
    <w:rsid w:val="00BF68C8"/>
    <w:rsid w:val="00BF7239"/>
    <w:rsid w:val="00BF75FC"/>
    <w:rsid w:val="00BF776E"/>
    <w:rsid w:val="00BF7932"/>
    <w:rsid w:val="00BF7BD0"/>
    <w:rsid w:val="00BF7C97"/>
    <w:rsid w:val="00BF7D0F"/>
    <w:rsid w:val="00C0192A"/>
    <w:rsid w:val="00C01E68"/>
    <w:rsid w:val="00C02350"/>
    <w:rsid w:val="00C02A9E"/>
    <w:rsid w:val="00C03289"/>
    <w:rsid w:val="00C03CAB"/>
    <w:rsid w:val="00C04475"/>
    <w:rsid w:val="00C04AE3"/>
    <w:rsid w:val="00C055D9"/>
    <w:rsid w:val="00C055DE"/>
    <w:rsid w:val="00C057B7"/>
    <w:rsid w:val="00C06BBC"/>
    <w:rsid w:val="00C06BF1"/>
    <w:rsid w:val="00C072C4"/>
    <w:rsid w:val="00C075F3"/>
    <w:rsid w:val="00C07FFA"/>
    <w:rsid w:val="00C10119"/>
    <w:rsid w:val="00C11359"/>
    <w:rsid w:val="00C1152F"/>
    <w:rsid w:val="00C11924"/>
    <w:rsid w:val="00C11CFF"/>
    <w:rsid w:val="00C11FBB"/>
    <w:rsid w:val="00C12699"/>
    <w:rsid w:val="00C12AB0"/>
    <w:rsid w:val="00C12D04"/>
    <w:rsid w:val="00C130A8"/>
    <w:rsid w:val="00C13177"/>
    <w:rsid w:val="00C13AFB"/>
    <w:rsid w:val="00C1459C"/>
    <w:rsid w:val="00C150DC"/>
    <w:rsid w:val="00C15636"/>
    <w:rsid w:val="00C15BAA"/>
    <w:rsid w:val="00C15CB5"/>
    <w:rsid w:val="00C17900"/>
    <w:rsid w:val="00C17946"/>
    <w:rsid w:val="00C17E09"/>
    <w:rsid w:val="00C17E79"/>
    <w:rsid w:val="00C2009B"/>
    <w:rsid w:val="00C2057B"/>
    <w:rsid w:val="00C20E0C"/>
    <w:rsid w:val="00C215A1"/>
    <w:rsid w:val="00C220AD"/>
    <w:rsid w:val="00C22A10"/>
    <w:rsid w:val="00C23373"/>
    <w:rsid w:val="00C23470"/>
    <w:rsid w:val="00C235E6"/>
    <w:rsid w:val="00C237B8"/>
    <w:rsid w:val="00C23A34"/>
    <w:rsid w:val="00C243CB"/>
    <w:rsid w:val="00C2450C"/>
    <w:rsid w:val="00C2485B"/>
    <w:rsid w:val="00C251C1"/>
    <w:rsid w:val="00C262AB"/>
    <w:rsid w:val="00C267CA"/>
    <w:rsid w:val="00C26C6D"/>
    <w:rsid w:val="00C26F27"/>
    <w:rsid w:val="00C27A9F"/>
    <w:rsid w:val="00C27F66"/>
    <w:rsid w:val="00C30F28"/>
    <w:rsid w:val="00C31553"/>
    <w:rsid w:val="00C31CBA"/>
    <w:rsid w:val="00C3252A"/>
    <w:rsid w:val="00C326F9"/>
    <w:rsid w:val="00C327A1"/>
    <w:rsid w:val="00C327BC"/>
    <w:rsid w:val="00C3293A"/>
    <w:rsid w:val="00C332B0"/>
    <w:rsid w:val="00C33A15"/>
    <w:rsid w:val="00C33A49"/>
    <w:rsid w:val="00C34157"/>
    <w:rsid w:val="00C34549"/>
    <w:rsid w:val="00C34A3D"/>
    <w:rsid w:val="00C350E1"/>
    <w:rsid w:val="00C351A2"/>
    <w:rsid w:val="00C35AA2"/>
    <w:rsid w:val="00C35C47"/>
    <w:rsid w:val="00C35DAB"/>
    <w:rsid w:val="00C36C85"/>
    <w:rsid w:val="00C36D0C"/>
    <w:rsid w:val="00C36E65"/>
    <w:rsid w:val="00C36FD4"/>
    <w:rsid w:val="00C37125"/>
    <w:rsid w:val="00C3771C"/>
    <w:rsid w:val="00C37856"/>
    <w:rsid w:val="00C379DF"/>
    <w:rsid w:val="00C37A29"/>
    <w:rsid w:val="00C37A5E"/>
    <w:rsid w:val="00C400BC"/>
    <w:rsid w:val="00C401E7"/>
    <w:rsid w:val="00C40D7D"/>
    <w:rsid w:val="00C41173"/>
    <w:rsid w:val="00C41E5F"/>
    <w:rsid w:val="00C42774"/>
    <w:rsid w:val="00C43DBE"/>
    <w:rsid w:val="00C44673"/>
    <w:rsid w:val="00C4592D"/>
    <w:rsid w:val="00C463B1"/>
    <w:rsid w:val="00C46403"/>
    <w:rsid w:val="00C46594"/>
    <w:rsid w:val="00C46858"/>
    <w:rsid w:val="00C475B1"/>
    <w:rsid w:val="00C47940"/>
    <w:rsid w:val="00C479D3"/>
    <w:rsid w:val="00C500BE"/>
    <w:rsid w:val="00C502D3"/>
    <w:rsid w:val="00C5071A"/>
    <w:rsid w:val="00C50A65"/>
    <w:rsid w:val="00C50C57"/>
    <w:rsid w:val="00C50E76"/>
    <w:rsid w:val="00C51365"/>
    <w:rsid w:val="00C51E40"/>
    <w:rsid w:val="00C527D2"/>
    <w:rsid w:val="00C53A04"/>
    <w:rsid w:val="00C53AD3"/>
    <w:rsid w:val="00C5453B"/>
    <w:rsid w:val="00C54C9B"/>
    <w:rsid w:val="00C54D2B"/>
    <w:rsid w:val="00C54FD3"/>
    <w:rsid w:val="00C55A19"/>
    <w:rsid w:val="00C5645D"/>
    <w:rsid w:val="00C569F2"/>
    <w:rsid w:val="00C5729C"/>
    <w:rsid w:val="00C57320"/>
    <w:rsid w:val="00C6000D"/>
    <w:rsid w:val="00C6082E"/>
    <w:rsid w:val="00C608B2"/>
    <w:rsid w:val="00C60917"/>
    <w:rsid w:val="00C60D2C"/>
    <w:rsid w:val="00C613B3"/>
    <w:rsid w:val="00C61472"/>
    <w:rsid w:val="00C61B84"/>
    <w:rsid w:val="00C626DC"/>
    <w:rsid w:val="00C63042"/>
    <w:rsid w:val="00C6322E"/>
    <w:rsid w:val="00C632A8"/>
    <w:rsid w:val="00C635C9"/>
    <w:rsid w:val="00C635E0"/>
    <w:rsid w:val="00C63DAA"/>
    <w:rsid w:val="00C654CC"/>
    <w:rsid w:val="00C655EE"/>
    <w:rsid w:val="00C65ABA"/>
    <w:rsid w:val="00C666CE"/>
    <w:rsid w:val="00C67206"/>
    <w:rsid w:val="00C672D8"/>
    <w:rsid w:val="00C6768A"/>
    <w:rsid w:val="00C67945"/>
    <w:rsid w:val="00C709CD"/>
    <w:rsid w:val="00C70EFC"/>
    <w:rsid w:val="00C7149D"/>
    <w:rsid w:val="00C721C5"/>
    <w:rsid w:val="00C739F5"/>
    <w:rsid w:val="00C744D7"/>
    <w:rsid w:val="00C748A1"/>
    <w:rsid w:val="00C74CE2"/>
    <w:rsid w:val="00C75B64"/>
    <w:rsid w:val="00C75E04"/>
    <w:rsid w:val="00C762C5"/>
    <w:rsid w:val="00C76732"/>
    <w:rsid w:val="00C76901"/>
    <w:rsid w:val="00C76B3A"/>
    <w:rsid w:val="00C76BBF"/>
    <w:rsid w:val="00C773F8"/>
    <w:rsid w:val="00C80653"/>
    <w:rsid w:val="00C807B8"/>
    <w:rsid w:val="00C817C3"/>
    <w:rsid w:val="00C81D1F"/>
    <w:rsid w:val="00C82523"/>
    <w:rsid w:val="00C82A44"/>
    <w:rsid w:val="00C82BD9"/>
    <w:rsid w:val="00C82ED6"/>
    <w:rsid w:val="00C8339F"/>
    <w:rsid w:val="00C83498"/>
    <w:rsid w:val="00C835C6"/>
    <w:rsid w:val="00C83A61"/>
    <w:rsid w:val="00C83EDB"/>
    <w:rsid w:val="00C83F15"/>
    <w:rsid w:val="00C8444A"/>
    <w:rsid w:val="00C848FE"/>
    <w:rsid w:val="00C84D04"/>
    <w:rsid w:val="00C84F83"/>
    <w:rsid w:val="00C84F98"/>
    <w:rsid w:val="00C84FE5"/>
    <w:rsid w:val="00C852DE"/>
    <w:rsid w:val="00C857E1"/>
    <w:rsid w:val="00C85869"/>
    <w:rsid w:val="00C85A99"/>
    <w:rsid w:val="00C8663D"/>
    <w:rsid w:val="00C869D5"/>
    <w:rsid w:val="00C86A9F"/>
    <w:rsid w:val="00C87370"/>
    <w:rsid w:val="00C87980"/>
    <w:rsid w:val="00C902AB"/>
    <w:rsid w:val="00C902B6"/>
    <w:rsid w:val="00C904D1"/>
    <w:rsid w:val="00C90A29"/>
    <w:rsid w:val="00C9151A"/>
    <w:rsid w:val="00C91DF1"/>
    <w:rsid w:val="00C927AF"/>
    <w:rsid w:val="00C92AF0"/>
    <w:rsid w:val="00C92FFC"/>
    <w:rsid w:val="00C93155"/>
    <w:rsid w:val="00C93185"/>
    <w:rsid w:val="00C932F3"/>
    <w:rsid w:val="00C94463"/>
    <w:rsid w:val="00C950F7"/>
    <w:rsid w:val="00C95168"/>
    <w:rsid w:val="00C954AE"/>
    <w:rsid w:val="00C95C4B"/>
    <w:rsid w:val="00C95DFC"/>
    <w:rsid w:val="00C965FD"/>
    <w:rsid w:val="00C96650"/>
    <w:rsid w:val="00C96B36"/>
    <w:rsid w:val="00C96D1B"/>
    <w:rsid w:val="00C97073"/>
    <w:rsid w:val="00C97293"/>
    <w:rsid w:val="00C979E5"/>
    <w:rsid w:val="00C97FB9"/>
    <w:rsid w:val="00CA00D4"/>
    <w:rsid w:val="00CA02AE"/>
    <w:rsid w:val="00CA0A7B"/>
    <w:rsid w:val="00CA0BFD"/>
    <w:rsid w:val="00CA188C"/>
    <w:rsid w:val="00CA1934"/>
    <w:rsid w:val="00CA255E"/>
    <w:rsid w:val="00CA3BF3"/>
    <w:rsid w:val="00CA3F84"/>
    <w:rsid w:val="00CA4065"/>
    <w:rsid w:val="00CA4446"/>
    <w:rsid w:val="00CA4581"/>
    <w:rsid w:val="00CA45BF"/>
    <w:rsid w:val="00CA4ADE"/>
    <w:rsid w:val="00CA500E"/>
    <w:rsid w:val="00CA5062"/>
    <w:rsid w:val="00CA5321"/>
    <w:rsid w:val="00CA57BE"/>
    <w:rsid w:val="00CA5F51"/>
    <w:rsid w:val="00CA6DD9"/>
    <w:rsid w:val="00CA740D"/>
    <w:rsid w:val="00CB0188"/>
    <w:rsid w:val="00CB0372"/>
    <w:rsid w:val="00CB04D7"/>
    <w:rsid w:val="00CB073F"/>
    <w:rsid w:val="00CB1DC8"/>
    <w:rsid w:val="00CB2919"/>
    <w:rsid w:val="00CB2A7B"/>
    <w:rsid w:val="00CB3123"/>
    <w:rsid w:val="00CB35BD"/>
    <w:rsid w:val="00CB43EF"/>
    <w:rsid w:val="00CB4550"/>
    <w:rsid w:val="00CB45F5"/>
    <w:rsid w:val="00CB494B"/>
    <w:rsid w:val="00CB4997"/>
    <w:rsid w:val="00CB4B77"/>
    <w:rsid w:val="00CB50E1"/>
    <w:rsid w:val="00CB52C3"/>
    <w:rsid w:val="00CB55B8"/>
    <w:rsid w:val="00CB5BA6"/>
    <w:rsid w:val="00CB5DA7"/>
    <w:rsid w:val="00CB659F"/>
    <w:rsid w:val="00CB6DAC"/>
    <w:rsid w:val="00CB6F5D"/>
    <w:rsid w:val="00CB703E"/>
    <w:rsid w:val="00CB717A"/>
    <w:rsid w:val="00CB726A"/>
    <w:rsid w:val="00CB7E60"/>
    <w:rsid w:val="00CC03DB"/>
    <w:rsid w:val="00CC0628"/>
    <w:rsid w:val="00CC0931"/>
    <w:rsid w:val="00CC0B20"/>
    <w:rsid w:val="00CC112B"/>
    <w:rsid w:val="00CC21CE"/>
    <w:rsid w:val="00CC2AE7"/>
    <w:rsid w:val="00CC2F62"/>
    <w:rsid w:val="00CC3697"/>
    <w:rsid w:val="00CC3D0E"/>
    <w:rsid w:val="00CC4711"/>
    <w:rsid w:val="00CC4D42"/>
    <w:rsid w:val="00CC5203"/>
    <w:rsid w:val="00CC590D"/>
    <w:rsid w:val="00CC5A3C"/>
    <w:rsid w:val="00CC6183"/>
    <w:rsid w:val="00CC676A"/>
    <w:rsid w:val="00CC69F9"/>
    <w:rsid w:val="00CC6C3A"/>
    <w:rsid w:val="00CC7DA8"/>
    <w:rsid w:val="00CD0061"/>
    <w:rsid w:val="00CD04AF"/>
    <w:rsid w:val="00CD06C2"/>
    <w:rsid w:val="00CD06D8"/>
    <w:rsid w:val="00CD0832"/>
    <w:rsid w:val="00CD0ABD"/>
    <w:rsid w:val="00CD1224"/>
    <w:rsid w:val="00CD1314"/>
    <w:rsid w:val="00CD2720"/>
    <w:rsid w:val="00CD2FC1"/>
    <w:rsid w:val="00CD36CE"/>
    <w:rsid w:val="00CD3FE1"/>
    <w:rsid w:val="00CD4314"/>
    <w:rsid w:val="00CD49E3"/>
    <w:rsid w:val="00CD4BE8"/>
    <w:rsid w:val="00CD4C34"/>
    <w:rsid w:val="00CD5775"/>
    <w:rsid w:val="00CD5CA3"/>
    <w:rsid w:val="00CD61EB"/>
    <w:rsid w:val="00CD698A"/>
    <w:rsid w:val="00CD7AA2"/>
    <w:rsid w:val="00CE02D3"/>
    <w:rsid w:val="00CE05A6"/>
    <w:rsid w:val="00CE0828"/>
    <w:rsid w:val="00CE09BA"/>
    <w:rsid w:val="00CE0E14"/>
    <w:rsid w:val="00CE1418"/>
    <w:rsid w:val="00CE1581"/>
    <w:rsid w:val="00CE1B61"/>
    <w:rsid w:val="00CE212D"/>
    <w:rsid w:val="00CE2ABA"/>
    <w:rsid w:val="00CE2DE7"/>
    <w:rsid w:val="00CE2EBA"/>
    <w:rsid w:val="00CE33F6"/>
    <w:rsid w:val="00CE36DF"/>
    <w:rsid w:val="00CE3892"/>
    <w:rsid w:val="00CE3DC7"/>
    <w:rsid w:val="00CE4B89"/>
    <w:rsid w:val="00CE4E0E"/>
    <w:rsid w:val="00CE58D6"/>
    <w:rsid w:val="00CE5BB2"/>
    <w:rsid w:val="00CE684B"/>
    <w:rsid w:val="00CE790F"/>
    <w:rsid w:val="00CF0101"/>
    <w:rsid w:val="00CF014A"/>
    <w:rsid w:val="00CF02F0"/>
    <w:rsid w:val="00CF02F2"/>
    <w:rsid w:val="00CF0370"/>
    <w:rsid w:val="00CF0445"/>
    <w:rsid w:val="00CF0CC8"/>
    <w:rsid w:val="00CF13EA"/>
    <w:rsid w:val="00CF1AD4"/>
    <w:rsid w:val="00CF1DDA"/>
    <w:rsid w:val="00CF27EC"/>
    <w:rsid w:val="00CF2A2B"/>
    <w:rsid w:val="00CF340B"/>
    <w:rsid w:val="00CF42D5"/>
    <w:rsid w:val="00CF4972"/>
    <w:rsid w:val="00CF6A94"/>
    <w:rsid w:val="00CF6E71"/>
    <w:rsid w:val="00CF6F2E"/>
    <w:rsid w:val="00CF6FC9"/>
    <w:rsid w:val="00CF72D5"/>
    <w:rsid w:val="00CF76FB"/>
    <w:rsid w:val="00CF7B14"/>
    <w:rsid w:val="00CF7B2A"/>
    <w:rsid w:val="00D0066E"/>
    <w:rsid w:val="00D008B9"/>
    <w:rsid w:val="00D0098A"/>
    <w:rsid w:val="00D010D6"/>
    <w:rsid w:val="00D019AD"/>
    <w:rsid w:val="00D01A4C"/>
    <w:rsid w:val="00D01DEF"/>
    <w:rsid w:val="00D01E1F"/>
    <w:rsid w:val="00D02631"/>
    <w:rsid w:val="00D02903"/>
    <w:rsid w:val="00D03076"/>
    <w:rsid w:val="00D031AC"/>
    <w:rsid w:val="00D03D4A"/>
    <w:rsid w:val="00D03EA7"/>
    <w:rsid w:val="00D04C8C"/>
    <w:rsid w:val="00D05002"/>
    <w:rsid w:val="00D0512B"/>
    <w:rsid w:val="00D054AE"/>
    <w:rsid w:val="00D05841"/>
    <w:rsid w:val="00D05C34"/>
    <w:rsid w:val="00D05CC7"/>
    <w:rsid w:val="00D067B1"/>
    <w:rsid w:val="00D06A6C"/>
    <w:rsid w:val="00D06DDF"/>
    <w:rsid w:val="00D0782E"/>
    <w:rsid w:val="00D07CE3"/>
    <w:rsid w:val="00D07D0E"/>
    <w:rsid w:val="00D07F44"/>
    <w:rsid w:val="00D10D9C"/>
    <w:rsid w:val="00D10DDE"/>
    <w:rsid w:val="00D11CD0"/>
    <w:rsid w:val="00D1201C"/>
    <w:rsid w:val="00D1229F"/>
    <w:rsid w:val="00D148D3"/>
    <w:rsid w:val="00D15590"/>
    <w:rsid w:val="00D156FE"/>
    <w:rsid w:val="00D15F48"/>
    <w:rsid w:val="00D161B1"/>
    <w:rsid w:val="00D169AC"/>
    <w:rsid w:val="00D16F74"/>
    <w:rsid w:val="00D171BD"/>
    <w:rsid w:val="00D1773F"/>
    <w:rsid w:val="00D179B1"/>
    <w:rsid w:val="00D17AD2"/>
    <w:rsid w:val="00D2064F"/>
    <w:rsid w:val="00D2067A"/>
    <w:rsid w:val="00D20760"/>
    <w:rsid w:val="00D213E3"/>
    <w:rsid w:val="00D214BE"/>
    <w:rsid w:val="00D21AF2"/>
    <w:rsid w:val="00D22D73"/>
    <w:rsid w:val="00D22F82"/>
    <w:rsid w:val="00D2330D"/>
    <w:rsid w:val="00D23845"/>
    <w:rsid w:val="00D23C60"/>
    <w:rsid w:val="00D24CEF"/>
    <w:rsid w:val="00D24EB1"/>
    <w:rsid w:val="00D253B7"/>
    <w:rsid w:val="00D2586B"/>
    <w:rsid w:val="00D25DEA"/>
    <w:rsid w:val="00D268CD"/>
    <w:rsid w:val="00D26C33"/>
    <w:rsid w:val="00D273C3"/>
    <w:rsid w:val="00D276D3"/>
    <w:rsid w:val="00D27B81"/>
    <w:rsid w:val="00D300AA"/>
    <w:rsid w:val="00D304E5"/>
    <w:rsid w:val="00D309C1"/>
    <w:rsid w:val="00D30BC5"/>
    <w:rsid w:val="00D30D10"/>
    <w:rsid w:val="00D31163"/>
    <w:rsid w:val="00D31325"/>
    <w:rsid w:val="00D315D0"/>
    <w:rsid w:val="00D328F6"/>
    <w:rsid w:val="00D332F8"/>
    <w:rsid w:val="00D33FE0"/>
    <w:rsid w:val="00D344EC"/>
    <w:rsid w:val="00D34C0B"/>
    <w:rsid w:val="00D34DC7"/>
    <w:rsid w:val="00D34F9D"/>
    <w:rsid w:val="00D35304"/>
    <w:rsid w:val="00D360E9"/>
    <w:rsid w:val="00D364AA"/>
    <w:rsid w:val="00D36AC6"/>
    <w:rsid w:val="00D36BE4"/>
    <w:rsid w:val="00D376F9"/>
    <w:rsid w:val="00D37799"/>
    <w:rsid w:val="00D37F3F"/>
    <w:rsid w:val="00D41086"/>
    <w:rsid w:val="00D411A8"/>
    <w:rsid w:val="00D41233"/>
    <w:rsid w:val="00D416AF"/>
    <w:rsid w:val="00D41B69"/>
    <w:rsid w:val="00D42199"/>
    <w:rsid w:val="00D4253C"/>
    <w:rsid w:val="00D4317E"/>
    <w:rsid w:val="00D431C4"/>
    <w:rsid w:val="00D43E20"/>
    <w:rsid w:val="00D44044"/>
    <w:rsid w:val="00D44E65"/>
    <w:rsid w:val="00D45096"/>
    <w:rsid w:val="00D450DA"/>
    <w:rsid w:val="00D45A76"/>
    <w:rsid w:val="00D45EF0"/>
    <w:rsid w:val="00D462E7"/>
    <w:rsid w:val="00D4772C"/>
    <w:rsid w:val="00D47D3B"/>
    <w:rsid w:val="00D50034"/>
    <w:rsid w:val="00D5082B"/>
    <w:rsid w:val="00D50B9D"/>
    <w:rsid w:val="00D50C1B"/>
    <w:rsid w:val="00D51BD0"/>
    <w:rsid w:val="00D525AD"/>
    <w:rsid w:val="00D52886"/>
    <w:rsid w:val="00D52AE4"/>
    <w:rsid w:val="00D52FC6"/>
    <w:rsid w:val="00D53286"/>
    <w:rsid w:val="00D5374C"/>
    <w:rsid w:val="00D54AF2"/>
    <w:rsid w:val="00D561F0"/>
    <w:rsid w:val="00D564A9"/>
    <w:rsid w:val="00D566F7"/>
    <w:rsid w:val="00D56BDA"/>
    <w:rsid w:val="00D56C89"/>
    <w:rsid w:val="00D56DCC"/>
    <w:rsid w:val="00D57061"/>
    <w:rsid w:val="00D57252"/>
    <w:rsid w:val="00D5785F"/>
    <w:rsid w:val="00D57B0C"/>
    <w:rsid w:val="00D57C59"/>
    <w:rsid w:val="00D60231"/>
    <w:rsid w:val="00D60649"/>
    <w:rsid w:val="00D60756"/>
    <w:rsid w:val="00D61C28"/>
    <w:rsid w:val="00D61E88"/>
    <w:rsid w:val="00D61EAC"/>
    <w:rsid w:val="00D61EB0"/>
    <w:rsid w:val="00D623F3"/>
    <w:rsid w:val="00D62B11"/>
    <w:rsid w:val="00D62D42"/>
    <w:rsid w:val="00D6320E"/>
    <w:rsid w:val="00D636B3"/>
    <w:rsid w:val="00D64660"/>
    <w:rsid w:val="00D65874"/>
    <w:rsid w:val="00D6628B"/>
    <w:rsid w:val="00D66624"/>
    <w:rsid w:val="00D668E6"/>
    <w:rsid w:val="00D66982"/>
    <w:rsid w:val="00D66FF7"/>
    <w:rsid w:val="00D67F7E"/>
    <w:rsid w:val="00D70DFB"/>
    <w:rsid w:val="00D713F7"/>
    <w:rsid w:val="00D721CB"/>
    <w:rsid w:val="00D72648"/>
    <w:rsid w:val="00D729BD"/>
    <w:rsid w:val="00D7332E"/>
    <w:rsid w:val="00D7340D"/>
    <w:rsid w:val="00D73BB3"/>
    <w:rsid w:val="00D73CCD"/>
    <w:rsid w:val="00D74401"/>
    <w:rsid w:val="00D74A8B"/>
    <w:rsid w:val="00D750DC"/>
    <w:rsid w:val="00D75329"/>
    <w:rsid w:val="00D75759"/>
    <w:rsid w:val="00D75832"/>
    <w:rsid w:val="00D75A3B"/>
    <w:rsid w:val="00D75B76"/>
    <w:rsid w:val="00D768CE"/>
    <w:rsid w:val="00D76A56"/>
    <w:rsid w:val="00D7771F"/>
    <w:rsid w:val="00D80395"/>
    <w:rsid w:val="00D80B54"/>
    <w:rsid w:val="00D81013"/>
    <w:rsid w:val="00D819EB"/>
    <w:rsid w:val="00D81C73"/>
    <w:rsid w:val="00D81CF6"/>
    <w:rsid w:val="00D81FEF"/>
    <w:rsid w:val="00D821DD"/>
    <w:rsid w:val="00D830ED"/>
    <w:rsid w:val="00D831C2"/>
    <w:rsid w:val="00D83923"/>
    <w:rsid w:val="00D83987"/>
    <w:rsid w:val="00D84182"/>
    <w:rsid w:val="00D84277"/>
    <w:rsid w:val="00D845D3"/>
    <w:rsid w:val="00D849F6"/>
    <w:rsid w:val="00D84DE0"/>
    <w:rsid w:val="00D84F77"/>
    <w:rsid w:val="00D8551B"/>
    <w:rsid w:val="00D855C8"/>
    <w:rsid w:val="00D8703E"/>
    <w:rsid w:val="00D870CE"/>
    <w:rsid w:val="00D871B1"/>
    <w:rsid w:val="00D87AC4"/>
    <w:rsid w:val="00D87C2A"/>
    <w:rsid w:val="00D905B4"/>
    <w:rsid w:val="00D91614"/>
    <w:rsid w:val="00D92212"/>
    <w:rsid w:val="00D92230"/>
    <w:rsid w:val="00D92D1D"/>
    <w:rsid w:val="00D93305"/>
    <w:rsid w:val="00D9341C"/>
    <w:rsid w:val="00D9412D"/>
    <w:rsid w:val="00D9419D"/>
    <w:rsid w:val="00D943D6"/>
    <w:rsid w:val="00D947C6"/>
    <w:rsid w:val="00D94A45"/>
    <w:rsid w:val="00D95254"/>
    <w:rsid w:val="00D953DC"/>
    <w:rsid w:val="00D95658"/>
    <w:rsid w:val="00D95BDF"/>
    <w:rsid w:val="00D9637D"/>
    <w:rsid w:val="00D96D91"/>
    <w:rsid w:val="00D97074"/>
    <w:rsid w:val="00D9781B"/>
    <w:rsid w:val="00D97D10"/>
    <w:rsid w:val="00DA006F"/>
    <w:rsid w:val="00DA030D"/>
    <w:rsid w:val="00DA0670"/>
    <w:rsid w:val="00DA0705"/>
    <w:rsid w:val="00DA0A0F"/>
    <w:rsid w:val="00DA0E51"/>
    <w:rsid w:val="00DA0FFB"/>
    <w:rsid w:val="00DA14C9"/>
    <w:rsid w:val="00DA2985"/>
    <w:rsid w:val="00DA2E4F"/>
    <w:rsid w:val="00DA45DD"/>
    <w:rsid w:val="00DA4E65"/>
    <w:rsid w:val="00DA522D"/>
    <w:rsid w:val="00DA5692"/>
    <w:rsid w:val="00DA57FC"/>
    <w:rsid w:val="00DA5CEA"/>
    <w:rsid w:val="00DA60FB"/>
    <w:rsid w:val="00DA6416"/>
    <w:rsid w:val="00DA675E"/>
    <w:rsid w:val="00DA6873"/>
    <w:rsid w:val="00DA6875"/>
    <w:rsid w:val="00DA6C55"/>
    <w:rsid w:val="00DA6D09"/>
    <w:rsid w:val="00DA6D6B"/>
    <w:rsid w:val="00DA7B5D"/>
    <w:rsid w:val="00DB137C"/>
    <w:rsid w:val="00DB278F"/>
    <w:rsid w:val="00DB2D18"/>
    <w:rsid w:val="00DB3689"/>
    <w:rsid w:val="00DB45C3"/>
    <w:rsid w:val="00DB4617"/>
    <w:rsid w:val="00DB59F5"/>
    <w:rsid w:val="00DB680C"/>
    <w:rsid w:val="00DB6B96"/>
    <w:rsid w:val="00DB6E64"/>
    <w:rsid w:val="00DB6E9C"/>
    <w:rsid w:val="00DB72C9"/>
    <w:rsid w:val="00DB7BF1"/>
    <w:rsid w:val="00DC03FE"/>
    <w:rsid w:val="00DC0997"/>
    <w:rsid w:val="00DC0B04"/>
    <w:rsid w:val="00DC0D1D"/>
    <w:rsid w:val="00DC11F6"/>
    <w:rsid w:val="00DC13B4"/>
    <w:rsid w:val="00DC258C"/>
    <w:rsid w:val="00DC2DA0"/>
    <w:rsid w:val="00DC3020"/>
    <w:rsid w:val="00DC3D8D"/>
    <w:rsid w:val="00DC3DE7"/>
    <w:rsid w:val="00DC42C3"/>
    <w:rsid w:val="00DC464B"/>
    <w:rsid w:val="00DC4A93"/>
    <w:rsid w:val="00DC5360"/>
    <w:rsid w:val="00DC5C0C"/>
    <w:rsid w:val="00DC6A59"/>
    <w:rsid w:val="00DC74AA"/>
    <w:rsid w:val="00DC7777"/>
    <w:rsid w:val="00DC7ADD"/>
    <w:rsid w:val="00DD0CA5"/>
    <w:rsid w:val="00DD1088"/>
    <w:rsid w:val="00DD198F"/>
    <w:rsid w:val="00DD1BBF"/>
    <w:rsid w:val="00DD1DC6"/>
    <w:rsid w:val="00DD20C7"/>
    <w:rsid w:val="00DD2A83"/>
    <w:rsid w:val="00DD2CAE"/>
    <w:rsid w:val="00DD2F5E"/>
    <w:rsid w:val="00DD317C"/>
    <w:rsid w:val="00DD41FD"/>
    <w:rsid w:val="00DD4274"/>
    <w:rsid w:val="00DD4568"/>
    <w:rsid w:val="00DD46CE"/>
    <w:rsid w:val="00DD470E"/>
    <w:rsid w:val="00DD70AE"/>
    <w:rsid w:val="00DD7103"/>
    <w:rsid w:val="00DD710A"/>
    <w:rsid w:val="00DD73C2"/>
    <w:rsid w:val="00DD73FC"/>
    <w:rsid w:val="00DD78F8"/>
    <w:rsid w:val="00DD7A8A"/>
    <w:rsid w:val="00DD7AB9"/>
    <w:rsid w:val="00DE072E"/>
    <w:rsid w:val="00DE0952"/>
    <w:rsid w:val="00DE0BF0"/>
    <w:rsid w:val="00DE19AD"/>
    <w:rsid w:val="00DE1C72"/>
    <w:rsid w:val="00DE2CEA"/>
    <w:rsid w:val="00DE34A8"/>
    <w:rsid w:val="00DE432E"/>
    <w:rsid w:val="00DE44E0"/>
    <w:rsid w:val="00DE46F0"/>
    <w:rsid w:val="00DE48CE"/>
    <w:rsid w:val="00DE4D4C"/>
    <w:rsid w:val="00DE52C1"/>
    <w:rsid w:val="00DE5B0D"/>
    <w:rsid w:val="00DE62B2"/>
    <w:rsid w:val="00DE6428"/>
    <w:rsid w:val="00DE6881"/>
    <w:rsid w:val="00DE695F"/>
    <w:rsid w:val="00DE6BC1"/>
    <w:rsid w:val="00DE6E5B"/>
    <w:rsid w:val="00DF0385"/>
    <w:rsid w:val="00DF0AC6"/>
    <w:rsid w:val="00DF0BC3"/>
    <w:rsid w:val="00DF1617"/>
    <w:rsid w:val="00DF1DC7"/>
    <w:rsid w:val="00DF1FCC"/>
    <w:rsid w:val="00DF25BF"/>
    <w:rsid w:val="00DF273D"/>
    <w:rsid w:val="00DF2D77"/>
    <w:rsid w:val="00DF2E49"/>
    <w:rsid w:val="00DF371B"/>
    <w:rsid w:val="00DF37E1"/>
    <w:rsid w:val="00DF38A5"/>
    <w:rsid w:val="00DF3A50"/>
    <w:rsid w:val="00DF4366"/>
    <w:rsid w:val="00DF43A7"/>
    <w:rsid w:val="00DF4E3E"/>
    <w:rsid w:val="00DF52A8"/>
    <w:rsid w:val="00DF5427"/>
    <w:rsid w:val="00DF54BC"/>
    <w:rsid w:val="00DF54FD"/>
    <w:rsid w:val="00DF5542"/>
    <w:rsid w:val="00DF5BB7"/>
    <w:rsid w:val="00DF6863"/>
    <w:rsid w:val="00DF6F4A"/>
    <w:rsid w:val="00DF75A2"/>
    <w:rsid w:val="00DF77DB"/>
    <w:rsid w:val="00E0050C"/>
    <w:rsid w:val="00E00669"/>
    <w:rsid w:val="00E0141F"/>
    <w:rsid w:val="00E015EA"/>
    <w:rsid w:val="00E01993"/>
    <w:rsid w:val="00E01A77"/>
    <w:rsid w:val="00E02002"/>
    <w:rsid w:val="00E02EA4"/>
    <w:rsid w:val="00E02F39"/>
    <w:rsid w:val="00E03000"/>
    <w:rsid w:val="00E037C3"/>
    <w:rsid w:val="00E03829"/>
    <w:rsid w:val="00E0453D"/>
    <w:rsid w:val="00E045E6"/>
    <w:rsid w:val="00E047DA"/>
    <w:rsid w:val="00E04B51"/>
    <w:rsid w:val="00E04D5D"/>
    <w:rsid w:val="00E052CB"/>
    <w:rsid w:val="00E05FA6"/>
    <w:rsid w:val="00E0619F"/>
    <w:rsid w:val="00E063DE"/>
    <w:rsid w:val="00E0663A"/>
    <w:rsid w:val="00E070DD"/>
    <w:rsid w:val="00E0741B"/>
    <w:rsid w:val="00E07447"/>
    <w:rsid w:val="00E0751B"/>
    <w:rsid w:val="00E100AA"/>
    <w:rsid w:val="00E10364"/>
    <w:rsid w:val="00E10607"/>
    <w:rsid w:val="00E10B6C"/>
    <w:rsid w:val="00E11160"/>
    <w:rsid w:val="00E11CC5"/>
    <w:rsid w:val="00E138D4"/>
    <w:rsid w:val="00E140B4"/>
    <w:rsid w:val="00E14543"/>
    <w:rsid w:val="00E149F0"/>
    <w:rsid w:val="00E14C4E"/>
    <w:rsid w:val="00E1562A"/>
    <w:rsid w:val="00E162D3"/>
    <w:rsid w:val="00E176D0"/>
    <w:rsid w:val="00E17CB1"/>
    <w:rsid w:val="00E17CFE"/>
    <w:rsid w:val="00E203B7"/>
    <w:rsid w:val="00E205A3"/>
    <w:rsid w:val="00E205AD"/>
    <w:rsid w:val="00E2183E"/>
    <w:rsid w:val="00E2212C"/>
    <w:rsid w:val="00E22F1D"/>
    <w:rsid w:val="00E24380"/>
    <w:rsid w:val="00E247C2"/>
    <w:rsid w:val="00E2481A"/>
    <w:rsid w:val="00E24B1D"/>
    <w:rsid w:val="00E24BC4"/>
    <w:rsid w:val="00E25474"/>
    <w:rsid w:val="00E259F2"/>
    <w:rsid w:val="00E26693"/>
    <w:rsid w:val="00E2691F"/>
    <w:rsid w:val="00E26DC3"/>
    <w:rsid w:val="00E26EB7"/>
    <w:rsid w:val="00E272F4"/>
    <w:rsid w:val="00E276CC"/>
    <w:rsid w:val="00E279F1"/>
    <w:rsid w:val="00E27C58"/>
    <w:rsid w:val="00E30089"/>
    <w:rsid w:val="00E30270"/>
    <w:rsid w:val="00E3048F"/>
    <w:rsid w:val="00E30B60"/>
    <w:rsid w:val="00E30E6F"/>
    <w:rsid w:val="00E31248"/>
    <w:rsid w:val="00E313E4"/>
    <w:rsid w:val="00E31490"/>
    <w:rsid w:val="00E31822"/>
    <w:rsid w:val="00E31F3E"/>
    <w:rsid w:val="00E32F93"/>
    <w:rsid w:val="00E330CC"/>
    <w:rsid w:val="00E3402E"/>
    <w:rsid w:val="00E34598"/>
    <w:rsid w:val="00E34A10"/>
    <w:rsid w:val="00E34F41"/>
    <w:rsid w:val="00E35495"/>
    <w:rsid w:val="00E35A20"/>
    <w:rsid w:val="00E3652F"/>
    <w:rsid w:val="00E3664E"/>
    <w:rsid w:val="00E369E9"/>
    <w:rsid w:val="00E36A9E"/>
    <w:rsid w:val="00E36B48"/>
    <w:rsid w:val="00E36D5A"/>
    <w:rsid w:val="00E37A0B"/>
    <w:rsid w:val="00E37D72"/>
    <w:rsid w:val="00E37E73"/>
    <w:rsid w:val="00E40067"/>
    <w:rsid w:val="00E402C4"/>
    <w:rsid w:val="00E408AA"/>
    <w:rsid w:val="00E40BBF"/>
    <w:rsid w:val="00E40F25"/>
    <w:rsid w:val="00E41071"/>
    <w:rsid w:val="00E410DB"/>
    <w:rsid w:val="00E411D2"/>
    <w:rsid w:val="00E412C6"/>
    <w:rsid w:val="00E41601"/>
    <w:rsid w:val="00E41C3F"/>
    <w:rsid w:val="00E41CD3"/>
    <w:rsid w:val="00E41DAC"/>
    <w:rsid w:val="00E441CC"/>
    <w:rsid w:val="00E44436"/>
    <w:rsid w:val="00E45144"/>
    <w:rsid w:val="00E459DC"/>
    <w:rsid w:val="00E4626F"/>
    <w:rsid w:val="00E464E6"/>
    <w:rsid w:val="00E46A52"/>
    <w:rsid w:val="00E46CB7"/>
    <w:rsid w:val="00E46D40"/>
    <w:rsid w:val="00E470A2"/>
    <w:rsid w:val="00E50900"/>
    <w:rsid w:val="00E50DAC"/>
    <w:rsid w:val="00E51146"/>
    <w:rsid w:val="00E517CC"/>
    <w:rsid w:val="00E51EF4"/>
    <w:rsid w:val="00E522CE"/>
    <w:rsid w:val="00E5262B"/>
    <w:rsid w:val="00E529AE"/>
    <w:rsid w:val="00E52B0A"/>
    <w:rsid w:val="00E5337E"/>
    <w:rsid w:val="00E5378A"/>
    <w:rsid w:val="00E542C7"/>
    <w:rsid w:val="00E5453A"/>
    <w:rsid w:val="00E54732"/>
    <w:rsid w:val="00E54B2B"/>
    <w:rsid w:val="00E55070"/>
    <w:rsid w:val="00E551DD"/>
    <w:rsid w:val="00E558E9"/>
    <w:rsid w:val="00E55B76"/>
    <w:rsid w:val="00E55D9B"/>
    <w:rsid w:val="00E607D2"/>
    <w:rsid w:val="00E60CE0"/>
    <w:rsid w:val="00E613CA"/>
    <w:rsid w:val="00E6149C"/>
    <w:rsid w:val="00E6245D"/>
    <w:rsid w:val="00E62A33"/>
    <w:rsid w:val="00E63030"/>
    <w:rsid w:val="00E63A22"/>
    <w:rsid w:val="00E63DC3"/>
    <w:rsid w:val="00E63E72"/>
    <w:rsid w:val="00E64ECF"/>
    <w:rsid w:val="00E64FC4"/>
    <w:rsid w:val="00E65C95"/>
    <w:rsid w:val="00E65D6B"/>
    <w:rsid w:val="00E670C3"/>
    <w:rsid w:val="00E67A81"/>
    <w:rsid w:val="00E703F2"/>
    <w:rsid w:val="00E707DB"/>
    <w:rsid w:val="00E70FF0"/>
    <w:rsid w:val="00E711E6"/>
    <w:rsid w:val="00E71ACC"/>
    <w:rsid w:val="00E72B0B"/>
    <w:rsid w:val="00E730A6"/>
    <w:rsid w:val="00E745D4"/>
    <w:rsid w:val="00E74F7E"/>
    <w:rsid w:val="00E750F5"/>
    <w:rsid w:val="00E75F0B"/>
    <w:rsid w:val="00E77074"/>
    <w:rsid w:val="00E80472"/>
    <w:rsid w:val="00E8048F"/>
    <w:rsid w:val="00E80B5B"/>
    <w:rsid w:val="00E80FAB"/>
    <w:rsid w:val="00E8145C"/>
    <w:rsid w:val="00E81D21"/>
    <w:rsid w:val="00E81DD0"/>
    <w:rsid w:val="00E82552"/>
    <w:rsid w:val="00E82657"/>
    <w:rsid w:val="00E834B0"/>
    <w:rsid w:val="00E83B63"/>
    <w:rsid w:val="00E83EAC"/>
    <w:rsid w:val="00E8465A"/>
    <w:rsid w:val="00E85285"/>
    <w:rsid w:val="00E85912"/>
    <w:rsid w:val="00E85CAE"/>
    <w:rsid w:val="00E85DB2"/>
    <w:rsid w:val="00E85FE7"/>
    <w:rsid w:val="00E8614C"/>
    <w:rsid w:val="00E86707"/>
    <w:rsid w:val="00E86AE5"/>
    <w:rsid w:val="00E87305"/>
    <w:rsid w:val="00E87F9E"/>
    <w:rsid w:val="00E900B3"/>
    <w:rsid w:val="00E90483"/>
    <w:rsid w:val="00E905D7"/>
    <w:rsid w:val="00E90627"/>
    <w:rsid w:val="00E911CD"/>
    <w:rsid w:val="00E91212"/>
    <w:rsid w:val="00E91628"/>
    <w:rsid w:val="00E9170A"/>
    <w:rsid w:val="00E91725"/>
    <w:rsid w:val="00E91761"/>
    <w:rsid w:val="00E91990"/>
    <w:rsid w:val="00E91C0C"/>
    <w:rsid w:val="00E92D81"/>
    <w:rsid w:val="00E92E15"/>
    <w:rsid w:val="00E9327D"/>
    <w:rsid w:val="00E9386E"/>
    <w:rsid w:val="00E93A75"/>
    <w:rsid w:val="00E93C2A"/>
    <w:rsid w:val="00E93ED5"/>
    <w:rsid w:val="00E945A8"/>
    <w:rsid w:val="00E955B6"/>
    <w:rsid w:val="00E9618F"/>
    <w:rsid w:val="00E96565"/>
    <w:rsid w:val="00E9680D"/>
    <w:rsid w:val="00E96D42"/>
    <w:rsid w:val="00E9715F"/>
    <w:rsid w:val="00E971CC"/>
    <w:rsid w:val="00E97392"/>
    <w:rsid w:val="00E97B70"/>
    <w:rsid w:val="00EA0151"/>
    <w:rsid w:val="00EA06C7"/>
    <w:rsid w:val="00EA0AF6"/>
    <w:rsid w:val="00EA0CF3"/>
    <w:rsid w:val="00EA0DA1"/>
    <w:rsid w:val="00EA1943"/>
    <w:rsid w:val="00EA21F9"/>
    <w:rsid w:val="00EA2A8F"/>
    <w:rsid w:val="00EA312F"/>
    <w:rsid w:val="00EA4209"/>
    <w:rsid w:val="00EA4390"/>
    <w:rsid w:val="00EA45E6"/>
    <w:rsid w:val="00EA4CBA"/>
    <w:rsid w:val="00EA5A69"/>
    <w:rsid w:val="00EA5F0C"/>
    <w:rsid w:val="00EA6088"/>
    <w:rsid w:val="00EA619E"/>
    <w:rsid w:val="00EA636E"/>
    <w:rsid w:val="00EA63A9"/>
    <w:rsid w:val="00EA65F5"/>
    <w:rsid w:val="00EA6689"/>
    <w:rsid w:val="00EA733C"/>
    <w:rsid w:val="00EA7368"/>
    <w:rsid w:val="00EA74CF"/>
    <w:rsid w:val="00EA7BE7"/>
    <w:rsid w:val="00EA7C8B"/>
    <w:rsid w:val="00EB07A5"/>
    <w:rsid w:val="00EB07CB"/>
    <w:rsid w:val="00EB101A"/>
    <w:rsid w:val="00EB112D"/>
    <w:rsid w:val="00EB16BB"/>
    <w:rsid w:val="00EB177B"/>
    <w:rsid w:val="00EB1840"/>
    <w:rsid w:val="00EB1D9D"/>
    <w:rsid w:val="00EB1FC1"/>
    <w:rsid w:val="00EB359D"/>
    <w:rsid w:val="00EB3A81"/>
    <w:rsid w:val="00EB4648"/>
    <w:rsid w:val="00EB4656"/>
    <w:rsid w:val="00EB4731"/>
    <w:rsid w:val="00EB4A37"/>
    <w:rsid w:val="00EB51B6"/>
    <w:rsid w:val="00EB522E"/>
    <w:rsid w:val="00EB5620"/>
    <w:rsid w:val="00EB6454"/>
    <w:rsid w:val="00EB6734"/>
    <w:rsid w:val="00EB6AE7"/>
    <w:rsid w:val="00EB6E7D"/>
    <w:rsid w:val="00EB71F2"/>
    <w:rsid w:val="00EB791A"/>
    <w:rsid w:val="00EC0416"/>
    <w:rsid w:val="00EC04B5"/>
    <w:rsid w:val="00EC07D9"/>
    <w:rsid w:val="00EC0861"/>
    <w:rsid w:val="00EC0A74"/>
    <w:rsid w:val="00EC1236"/>
    <w:rsid w:val="00EC137D"/>
    <w:rsid w:val="00EC151C"/>
    <w:rsid w:val="00EC18C6"/>
    <w:rsid w:val="00EC1B19"/>
    <w:rsid w:val="00EC1BAC"/>
    <w:rsid w:val="00EC21B9"/>
    <w:rsid w:val="00EC2284"/>
    <w:rsid w:val="00EC26CC"/>
    <w:rsid w:val="00EC2A12"/>
    <w:rsid w:val="00EC2ECC"/>
    <w:rsid w:val="00EC3757"/>
    <w:rsid w:val="00EC4E7E"/>
    <w:rsid w:val="00EC5C3C"/>
    <w:rsid w:val="00EC5D6B"/>
    <w:rsid w:val="00EC6C4B"/>
    <w:rsid w:val="00EC7352"/>
    <w:rsid w:val="00EC73BB"/>
    <w:rsid w:val="00EC7ED3"/>
    <w:rsid w:val="00ED06E0"/>
    <w:rsid w:val="00ED1EE5"/>
    <w:rsid w:val="00ED32B2"/>
    <w:rsid w:val="00ED3314"/>
    <w:rsid w:val="00ED3785"/>
    <w:rsid w:val="00ED3A6A"/>
    <w:rsid w:val="00ED4421"/>
    <w:rsid w:val="00ED4967"/>
    <w:rsid w:val="00ED4EC5"/>
    <w:rsid w:val="00ED4F64"/>
    <w:rsid w:val="00ED53DB"/>
    <w:rsid w:val="00ED598A"/>
    <w:rsid w:val="00ED59DE"/>
    <w:rsid w:val="00ED5A0E"/>
    <w:rsid w:val="00ED5B7E"/>
    <w:rsid w:val="00ED5FD2"/>
    <w:rsid w:val="00ED62F3"/>
    <w:rsid w:val="00ED684A"/>
    <w:rsid w:val="00ED7DAE"/>
    <w:rsid w:val="00ED7F53"/>
    <w:rsid w:val="00EE0194"/>
    <w:rsid w:val="00EE060D"/>
    <w:rsid w:val="00EE0A36"/>
    <w:rsid w:val="00EE0C06"/>
    <w:rsid w:val="00EE0FB7"/>
    <w:rsid w:val="00EE188F"/>
    <w:rsid w:val="00EE1CCE"/>
    <w:rsid w:val="00EE274C"/>
    <w:rsid w:val="00EE2D1D"/>
    <w:rsid w:val="00EE3B62"/>
    <w:rsid w:val="00EE3E5B"/>
    <w:rsid w:val="00EE3F5E"/>
    <w:rsid w:val="00EE443D"/>
    <w:rsid w:val="00EE4F33"/>
    <w:rsid w:val="00EE5312"/>
    <w:rsid w:val="00EE5466"/>
    <w:rsid w:val="00EE6331"/>
    <w:rsid w:val="00EE6640"/>
    <w:rsid w:val="00EE6F14"/>
    <w:rsid w:val="00EE72FC"/>
    <w:rsid w:val="00EF01CC"/>
    <w:rsid w:val="00EF04D6"/>
    <w:rsid w:val="00EF0D26"/>
    <w:rsid w:val="00EF0F33"/>
    <w:rsid w:val="00EF13B5"/>
    <w:rsid w:val="00EF17BD"/>
    <w:rsid w:val="00EF1BAA"/>
    <w:rsid w:val="00EF2D27"/>
    <w:rsid w:val="00EF2EC0"/>
    <w:rsid w:val="00EF39B1"/>
    <w:rsid w:val="00EF3C43"/>
    <w:rsid w:val="00EF3D11"/>
    <w:rsid w:val="00EF3D6F"/>
    <w:rsid w:val="00EF3F23"/>
    <w:rsid w:val="00EF4705"/>
    <w:rsid w:val="00EF4AE3"/>
    <w:rsid w:val="00EF4DC6"/>
    <w:rsid w:val="00EF5172"/>
    <w:rsid w:val="00EF518B"/>
    <w:rsid w:val="00EF5962"/>
    <w:rsid w:val="00EF5ADB"/>
    <w:rsid w:val="00EF635E"/>
    <w:rsid w:val="00EF797C"/>
    <w:rsid w:val="00EF7BDB"/>
    <w:rsid w:val="00F000C3"/>
    <w:rsid w:val="00F00300"/>
    <w:rsid w:val="00F007BC"/>
    <w:rsid w:val="00F0146B"/>
    <w:rsid w:val="00F0193F"/>
    <w:rsid w:val="00F01D39"/>
    <w:rsid w:val="00F02065"/>
    <w:rsid w:val="00F02378"/>
    <w:rsid w:val="00F026C3"/>
    <w:rsid w:val="00F0281C"/>
    <w:rsid w:val="00F02A9B"/>
    <w:rsid w:val="00F02D33"/>
    <w:rsid w:val="00F02E88"/>
    <w:rsid w:val="00F03107"/>
    <w:rsid w:val="00F04071"/>
    <w:rsid w:val="00F04F4A"/>
    <w:rsid w:val="00F05486"/>
    <w:rsid w:val="00F056A3"/>
    <w:rsid w:val="00F0603B"/>
    <w:rsid w:val="00F064F1"/>
    <w:rsid w:val="00F065D9"/>
    <w:rsid w:val="00F066A2"/>
    <w:rsid w:val="00F0682E"/>
    <w:rsid w:val="00F06CBC"/>
    <w:rsid w:val="00F078D3"/>
    <w:rsid w:val="00F07936"/>
    <w:rsid w:val="00F07A60"/>
    <w:rsid w:val="00F07C11"/>
    <w:rsid w:val="00F10935"/>
    <w:rsid w:val="00F115AA"/>
    <w:rsid w:val="00F115BC"/>
    <w:rsid w:val="00F11C37"/>
    <w:rsid w:val="00F12132"/>
    <w:rsid w:val="00F12871"/>
    <w:rsid w:val="00F12A50"/>
    <w:rsid w:val="00F12C12"/>
    <w:rsid w:val="00F1330F"/>
    <w:rsid w:val="00F133F1"/>
    <w:rsid w:val="00F13EAB"/>
    <w:rsid w:val="00F1467B"/>
    <w:rsid w:val="00F14FF3"/>
    <w:rsid w:val="00F15682"/>
    <w:rsid w:val="00F16216"/>
    <w:rsid w:val="00F162D4"/>
    <w:rsid w:val="00F16CF6"/>
    <w:rsid w:val="00F16E81"/>
    <w:rsid w:val="00F17184"/>
    <w:rsid w:val="00F1731C"/>
    <w:rsid w:val="00F175E0"/>
    <w:rsid w:val="00F17712"/>
    <w:rsid w:val="00F17813"/>
    <w:rsid w:val="00F17BF0"/>
    <w:rsid w:val="00F17D55"/>
    <w:rsid w:val="00F20121"/>
    <w:rsid w:val="00F203CA"/>
    <w:rsid w:val="00F21668"/>
    <w:rsid w:val="00F21DB9"/>
    <w:rsid w:val="00F22405"/>
    <w:rsid w:val="00F22D24"/>
    <w:rsid w:val="00F22D27"/>
    <w:rsid w:val="00F23926"/>
    <w:rsid w:val="00F23A21"/>
    <w:rsid w:val="00F2438B"/>
    <w:rsid w:val="00F25128"/>
    <w:rsid w:val="00F2549B"/>
    <w:rsid w:val="00F2567B"/>
    <w:rsid w:val="00F25680"/>
    <w:rsid w:val="00F264B5"/>
    <w:rsid w:val="00F265C0"/>
    <w:rsid w:val="00F26AA8"/>
    <w:rsid w:val="00F27149"/>
    <w:rsid w:val="00F27B35"/>
    <w:rsid w:val="00F30147"/>
    <w:rsid w:val="00F301B5"/>
    <w:rsid w:val="00F30286"/>
    <w:rsid w:val="00F30446"/>
    <w:rsid w:val="00F30498"/>
    <w:rsid w:val="00F3081E"/>
    <w:rsid w:val="00F30D66"/>
    <w:rsid w:val="00F316F8"/>
    <w:rsid w:val="00F3174E"/>
    <w:rsid w:val="00F31BF7"/>
    <w:rsid w:val="00F31CBC"/>
    <w:rsid w:val="00F31E4B"/>
    <w:rsid w:val="00F32FC3"/>
    <w:rsid w:val="00F3307B"/>
    <w:rsid w:val="00F336B3"/>
    <w:rsid w:val="00F33AA5"/>
    <w:rsid w:val="00F35AA8"/>
    <w:rsid w:val="00F35BCB"/>
    <w:rsid w:val="00F36C11"/>
    <w:rsid w:val="00F36FDC"/>
    <w:rsid w:val="00F370B2"/>
    <w:rsid w:val="00F37560"/>
    <w:rsid w:val="00F4010B"/>
    <w:rsid w:val="00F40A10"/>
    <w:rsid w:val="00F41139"/>
    <w:rsid w:val="00F41793"/>
    <w:rsid w:val="00F41C87"/>
    <w:rsid w:val="00F41CC1"/>
    <w:rsid w:val="00F41E3D"/>
    <w:rsid w:val="00F41F3A"/>
    <w:rsid w:val="00F4225C"/>
    <w:rsid w:val="00F42665"/>
    <w:rsid w:val="00F42BA4"/>
    <w:rsid w:val="00F42E19"/>
    <w:rsid w:val="00F42E7F"/>
    <w:rsid w:val="00F43D3B"/>
    <w:rsid w:val="00F44099"/>
    <w:rsid w:val="00F4413A"/>
    <w:rsid w:val="00F443A9"/>
    <w:rsid w:val="00F448A9"/>
    <w:rsid w:val="00F44B34"/>
    <w:rsid w:val="00F44B9D"/>
    <w:rsid w:val="00F44E66"/>
    <w:rsid w:val="00F44E92"/>
    <w:rsid w:val="00F44FC3"/>
    <w:rsid w:val="00F4533C"/>
    <w:rsid w:val="00F45401"/>
    <w:rsid w:val="00F45B1D"/>
    <w:rsid w:val="00F45B3F"/>
    <w:rsid w:val="00F4656F"/>
    <w:rsid w:val="00F465D8"/>
    <w:rsid w:val="00F46CC7"/>
    <w:rsid w:val="00F46DF0"/>
    <w:rsid w:val="00F4702C"/>
    <w:rsid w:val="00F47686"/>
    <w:rsid w:val="00F4769C"/>
    <w:rsid w:val="00F505B8"/>
    <w:rsid w:val="00F515E0"/>
    <w:rsid w:val="00F520AB"/>
    <w:rsid w:val="00F52896"/>
    <w:rsid w:val="00F52E80"/>
    <w:rsid w:val="00F537A1"/>
    <w:rsid w:val="00F547DE"/>
    <w:rsid w:val="00F548A8"/>
    <w:rsid w:val="00F549C5"/>
    <w:rsid w:val="00F55030"/>
    <w:rsid w:val="00F55594"/>
    <w:rsid w:val="00F55975"/>
    <w:rsid w:val="00F56127"/>
    <w:rsid w:val="00F56A42"/>
    <w:rsid w:val="00F570BA"/>
    <w:rsid w:val="00F57F0B"/>
    <w:rsid w:val="00F600B1"/>
    <w:rsid w:val="00F6070B"/>
    <w:rsid w:val="00F609F3"/>
    <w:rsid w:val="00F60A59"/>
    <w:rsid w:val="00F60BFB"/>
    <w:rsid w:val="00F61288"/>
    <w:rsid w:val="00F618E0"/>
    <w:rsid w:val="00F61A6A"/>
    <w:rsid w:val="00F61D13"/>
    <w:rsid w:val="00F6259B"/>
    <w:rsid w:val="00F627F7"/>
    <w:rsid w:val="00F62828"/>
    <w:rsid w:val="00F62BC8"/>
    <w:rsid w:val="00F62C25"/>
    <w:rsid w:val="00F62F3B"/>
    <w:rsid w:val="00F634E7"/>
    <w:rsid w:val="00F634F6"/>
    <w:rsid w:val="00F63B78"/>
    <w:rsid w:val="00F63E23"/>
    <w:rsid w:val="00F64070"/>
    <w:rsid w:val="00F6472D"/>
    <w:rsid w:val="00F64D69"/>
    <w:rsid w:val="00F6524E"/>
    <w:rsid w:val="00F6526D"/>
    <w:rsid w:val="00F65628"/>
    <w:rsid w:val="00F657E5"/>
    <w:rsid w:val="00F65957"/>
    <w:rsid w:val="00F65BDB"/>
    <w:rsid w:val="00F65D7C"/>
    <w:rsid w:val="00F660C9"/>
    <w:rsid w:val="00F66536"/>
    <w:rsid w:val="00F66D25"/>
    <w:rsid w:val="00F67311"/>
    <w:rsid w:val="00F67327"/>
    <w:rsid w:val="00F70011"/>
    <w:rsid w:val="00F700DD"/>
    <w:rsid w:val="00F7064C"/>
    <w:rsid w:val="00F7074F"/>
    <w:rsid w:val="00F71800"/>
    <w:rsid w:val="00F71837"/>
    <w:rsid w:val="00F71A34"/>
    <w:rsid w:val="00F71AA9"/>
    <w:rsid w:val="00F71C04"/>
    <w:rsid w:val="00F71E5F"/>
    <w:rsid w:val="00F72028"/>
    <w:rsid w:val="00F7204E"/>
    <w:rsid w:val="00F7209C"/>
    <w:rsid w:val="00F7260B"/>
    <w:rsid w:val="00F72BE6"/>
    <w:rsid w:val="00F736B6"/>
    <w:rsid w:val="00F73EB8"/>
    <w:rsid w:val="00F7444D"/>
    <w:rsid w:val="00F74E1E"/>
    <w:rsid w:val="00F755A5"/>
    <w:rsid w:val="00F7582D"/>
    <w:rsid w:val="00F75C63"/>
    <w:rsid w:val="00F75EA7"/>
    <w:rsid w:val="00F7600D"/>
    <w:rsid w:val="00F76D41"/>
    <w:rsid w:val="00F76D67"/>
    <w:rsid w:val="00F77505"/>
    <w:rsid w:val="00F7768F"/>
    <w:rsid w:val="00F7784A"/>
    <w:rsid w:val="00F80169"/>
    <w:rsid w:val="00F8021F"/>
    <w:rsid w:val="00F8069F"/>
    <w:rsid w:val="00F80AD5"/>
    <w:rsid w:val="00F8107E"/>
    <w:rsid w:val="00F81834"/>
    <w:rsid w:val="00F82B21"/>
    <w:rsid w:val="00F82B37"/>
    <w:rsid w:val="00F82CA6"/>
    <w:rsid w:val="00F832A8"/>
    <w:rsid w:val="00F835D9"/>
    <w:rsid w:val="00F8361B"/>
    <w:rsid w:val="00F83876"/>
    <w:rsid w:val="00F83B74"/>
    <w:rsid w:val="00F83DAB"/>
    <w:rsid w:val="00F840DC"/>
    <w:rsid w:val="00F84215"/>
    <w:rsid w:val="00F847C1"/>
    <w:rsid w:val="00F8492A"/>
    <w:rsid w:val="00F84BDA"/>
    <w:rsid w:val="00F85296"/>
    <w:rsid w:val="00F85B39"/>
    <w:rsid w:val="00F85F5D"/>
    <w:rsid w:val="00F864AD"/>
    <w:rsid w:val="00F8787E"/>
    <w:rsid w:val="00F87B07"/>
    <w:rsid w:val="00F87C57"/>
    <w:rsid w:val="00F90413"/>
    <w:rsid w:val="00F9041B"/>
    <w:rsid w:val="00F9074B"/>
    <w:rsid w:val="00F91036"/>
    <w:rsid w:val="00F91300"/>
    <w:rsid w:val="00F91E21"/>
    <w:rsid w:val="00F92499"/>
    <w:rsid w:val="00F9311C"/>
    <w:rsid w:val="00F9319D"/>
    <w:rsid w:val="00F93214"/>
    <w:rsid w:val="00F932A9"/>
    <w:rsid w:val="00F9335F"/>
    <w:rsid w:val="00F934EC"/>
    <w:rsid w:val="00F93B56"/>
    <w:rsid w:val="00F94599"/>
    <w:rsid w:val="00F9483B"/>
    <w:rsid w:val="00F94880"/>
    <w:rsid w:val="00F949E5"/>
    <w:rsid w:val="00F94BFA"/>
    <w:rsid w:val="00F94C90"/>
    <w:rsid w:val="00F95A91"/>
    <w:rsid w:val="00F96297"/>
    <w:rsid w:val="00F96542"/>
    <w:rsid w:val="00F971A8"/>
    <w:rsid w:val="00F9779C"/>
    <w:rsid w:val="00F979ED"/>
    <w:rsid w:val="00FA001F"/>
    <w:rsid w:val="00FA0CB2"/>
    <w:rsid w:val="00FA0E08"/>
    <w:rsid w:val="00FA1034"/>
    <w:rsid w:val="00FA184E"/>
    <w:rsid w:val="00FA1D6E"/>
    <w:rsid w:val="00FA2308"/>
    <w:rsid w:val="00FA24E0"/>
    <w:rsid w:val="00FA2C7F"/>
    <w:rsid w:val="00FA2D02"/>
    <w:rsid w:val="00FA2FEF"/>
    <w:rsid w:val="00FA332F"/>
    <w:rsid w:val="00FA373C"/>
    <w:rsid w:val="00FA37BA"/>
    <w:rsid w:val="00FA4385"/>
    <w:rsid w:val="00FA43C8"/>
    <w:rsid w:val="00FA44BB"/>
    <w:rsid w:val="00FA4635"/>
    <w:rsid w:val="00FA510E"/>
    <w:rsid w:val="00FA540C"/>
    <w:rsid w:val="00FA5551"/>
    <w:rsid w:val="00FA5815"/>
    <w:rsid w:val="00FA6871"/>
    <w:rsid w:val="00FA70D0"/>
    <w:rsid w:val="00FA797B"/>
    <w:rsid w:val="00FA7DBD"/>
    <w:rsid w:val="00FA7FC4"/>
    <w:rsid w:val="00FB026A"/>
    <w:rsid w:val="00FB0D65"/>
    <w:rsid w:val="00FB0DAE"/>
    <w:rsid w:val="00FB0DF4"/>
    <w:rsid w:val="00FB10EB"/>
    <w:rsid w:val="00FB1661"/>
    <w:rsid w:val="00FB3112"/>
    <w:rsid w:val="00FB3B01"/>
    <w:rsid w:val="00FB4642"/>
    <w:rsid w:val="00FB4991"/>
    <w:rsid w:val="00FB4A8A"/>
    <w:rsid w:val="00FB5272"/>
    <w:rsid w:val="00FB55DD"/>
    <w:rsid w:val="00FB65B4"/>
    <w:rsid w:val="00FB665E"/>
    <w:rsid w:val="00FB7521"/>
    <w:rsid w:val="00FB7EDC"/>
    <w:rsid w:val="00FC033E"/>
    <w:rsid w:val="00FC0746"/>
    <w:rsid w:val="00FC0857"/>
    <w:rsid w:val="00FC08E2"/>
    <w:rsid w:val="00FC09A8"/>
    <w:rsid w:val="00FC0B3E"/>
    <w:rsid w:val="00FC1234"/>
    <w:rsid w:val="00FC15EA"/>
    <w:rsid w:val="00FC17CF"/>
    <w:rsid w:val="00FC1DC8"/>
    <w:rsid w:val="00FC2B23"/>
    <w:rsid w:val="00FC2D8B"/>
    <w:rsid w:val="00FC31E7"/>
    <w:rsid w:val="00FC328E"/>
    <w:rsid w:val="00FC3964"/>
    <w:rsid w:val="00FC3D9F"/>
    <w:rsid w:val="00FC409E"/>
    <w:rsid w:val="00FC443B"/>
    <w:rsid w:val="00FC45F5"/>
    <w:rsid w:val="00FC4A63"/>
    <w:rsid w:val="00FC5318"/>
    <w:rsid w:val="00FC577E"/>
    <w:rsid w:val="00FC6EE1"/>
    <w:rsid w:val="00FC71B8"/>
    <w:rsid w:val="00FC77F1"/>
    <w:rsid w:val="00FD05AC"/>
    <w:rsid w:val="00FD0A80"/>
    <w:rsid w:val="00FD0B10"/>
    <w:rsid w:val="00FD0D2B"/>
    <w:rsid w:val="00FD0DF6"/>
    <w:rsid w:val="00FD285E"/>
    <w:rsid w:val="00FD2F14"/>
    <w:rsid w:val="00FD3306"/>
    <w:rsid w:val="00FD3377"/>
    <w:rsid w:val="00FD3906"/>
    <w:rsid w:val="00FD39E5"/>
    <w:rsid w:val="00FD3AC7"/>
    <w:rsid w:val="00FD3B16"/>
    <w:rsid w:val="00FD3BA7"/>
    <w:rsid w:val="00FD3CDD"/>
    <w:rsid w:val="00FD5B40"/>
    <w:rsid w:val="00FD6C95"/>
    <w:rsid w:val="00FD6DDC"/>
    <w:rsid w:val="00FD6DFA"/>
    <w:rsid w:val="00FD7681"/>
    <w:rsid w:val="00FD7703"/>
    <w:rsid w:val="00FD7884"/>
    <w:rsid w:val="00FD7945"/>
    <w:rsid w:val="00FE00F8"/>
    <w:rsid w:val="00FE22F3"/>
    <w:rsid w:val="00FE2CCD"/>
    <w:rsid w:val="00FE334C"/>
    <w:rsid w:val="00FE3D6F"/>
    <w:rsid w:val="00FE423B"/>
    <w:rsid w:val="00FE5059"/>
    <w:rsid w:val="00FE51B7"/>
    <w:rsid w:val="00FE5616"/>
    <w:rsid w:val="00FE57D8"/>
    <w:rsid w:val="00FE5C54"/>
    <w:rsid w:val="00FE7188"/>
    <w:rsid w:val="00FE7DAA"/>
    <w:rsid w:val="00FE7EB2"/>
    <w:rsid w:val="00FF141A"/>
    <w:rsid w:val="00FF158E"/>
    <w:rsid w:val="00FF1A55"/>
    <w:rsid w:val="00FF1B50"/>
    <w:rsid w:val="00FF265E"/>
    <w:rsid w:val="00FF26DA"/>
    <w:rsid w:val="00FF2BE9"/>
    <w:rsid w:val="00FF3651"/>
    <w:rsid w:val="00FF37B5"/>
    <w:rsid w:val="00FF3D2A"/>
    <w:rsid w:val="00FF3FFC"/>
    <w:rsid w:val="00FF4626"/>
    <w:rsid w:val="00FF50E4"/>
    <w:rsid w:val="00FF5608"/>
    <w:rsid w:val="00FF565F"/>
    <w:rsid w:val="00FF57E0"/>
    <w:rsid w:val="00FF6982"/>
    <w:rsid w:val="00FF6BBC"/>
    <w:rsid w:val="00FF6E14"/>
    <w:rsid w:val="00FF72FB"/>
    <w:rsid w:val="00FF75E7"/>
    <w:rsid w:val="00FF7BF6"/>
    <w:rsid w:val="019EDF0F"/>
    <w:rsid w:val="01F01AD9"/>
    <w:rsid w:val="0240186E"/>
    <w:rsid w:val="06261036"/>
    <w:rsid w:val="063826D1"/>
    <w:rsid w:val="06576B3E"/>
    <w:rsid w:val="083B15EE"/>
    <w:rsid w:val="083D9366"/>
    <w:rsid w:val="0A13365A"/>
    <w:rsid w:val="0AECB125"/>
    <w:rsid w:val="0C043A16"/>
    <w:rsid w:val="0C0DA248"/>
    <w:rsid w:val="0CD51E9E"/>
    <w:rsid w:val="0E4574D5"/>
    <w:rsid w:val="0E52E80C"/>
    <w:rsid w:val="0E81787E"/>
    <w:rsid w:val="0F9DD009"/>
    <w:rsid w:val="10939AAB"/>
    <w:rsid w:val="11C57F14"/>
    <w:rsid w:val="1409E122"/>
    <w:rsid w:val="14734EAC"/>
    <w:rsid w:val="1764ADA6"/>
    <w:rsid w:val="185E4199"/>
    <w:rsid w:val="19A2EE73"/>
    <w:rsid w:val="1A8CA208"/>
    <w:rsid w:val="1B400A78"/>
    <w:rsid w:val="1C75953E"/>
    <w:rsid w:val="1CF9ABA7"/>
    <w:rsid w:val="1D48AAE9"/>
    <w:rsid w:val="1EEFBADF"/>
    <w:rsid w:val="1F37C406"/>
    <w:rsid w:val="1F69748C"/>
    <w:rsid w:val="20833557"/>
    <w:rsid w:val="209D321E"/>
    <w:rsid w:val="246769EB"/>
    <w:rsid w:val="26C5D07A"/>
    <w:rsid w:val="2897426F"/>
    <w:rsid w:val="29223D16"/>
    <w:rsid w:val="2C36583F"/>
    <w:rsid w:val="2E1AE072"/>
    <w:rsid w:val="2F7C6196"/>
    <w:rsid w:val="30AD374B"/>
    <w:rsid w:val="3142E283"/>
    <w:rsid w:val="315EB105"/>
    <w:rsid w:val="31A22AFE"/>
    <w:rsid w:val="33AACDAC"/>
    <w:rsid w:val="3408F814"/>
    <w:rsid w:val="342C7334"/>
    <w:rsid w:val="34952641"/>
    <w:rsid w:val="3529087C"/>
    <w:rsid w:val="353D6387"/>
    <w:rsid w:val="3541C7C5"/>
    <w:rsid w:val="36764439"/>
    <w:rsid w:val="37E2A47C"/>
    <w:rsid w:val="3876E4ED"/>
    <w:rsid w:val="388185F5"/>
    <w:rsid w:val="3894E36C"/>
    <w:rsid w:val="38F85D47"/>
    <w:rsid w:val="392788E3"/>
    <w:rsid w:val="3ABEBDD5"/>
    <w:rsid w:val="3B24B84B"/>
    <w:rsid w:val="3C0A3B6B"/>
    <w:rsid w:val="3C429ADA"/>
    <w:rsid w:val="3EF1608E"/>
    <w:rsid w:val="40B9E539"/>
    <w:rsid w:val="4147438B"/>
    <w:rsid w:val="476D656B"/>
    <w:rsid w:val="4BD3A3B5"/>
    <w:rsid w:val="4BE26470"/>
    <w:rsid w:val="4DFC22F1"/>
    <w:rsid w:val="50F27995"/>
    <w:rsid w:val="51390249"/>
    <w:rsid w:val="53121693"/>
    <w:rsid w:val="5422F24D"/>
    <w:rsid w:val="543B9094"/>
    <w:rsid w:val="54698AFA"/>
    <w:rsid w:val="5564D28F"/>
    <w:rsid w:val="559E7378"/>
    <w:rsid w:val="5669E9BE"/>
    <w:rsid w:val="57361218"/>
    <w:rsid w:val="584CA48D"/>
    <w:rsid w:val="588EB022"/>
    <w:rsid w:val="5960EE85"/>
    <w:rsid w:val="59B0B6A6"/>
    <w:rsid w:val="5A85784C"/>
    <w:rsid w:val="612D7B5B"/>
    <w:rsid w:val="624B1E90"/>
    <w:rsid w:val="62F5BA2E"/>
    <w:rsid w:val="6316D554"/>
    <w:rsid w:val="64B117D1"/>
    <w:rsid w:val="651DE637"/>
    <w:rsid w:val="65A0AD74"/>
    <w:rsid w:val="65B1FFD1"/>
    <w:rsid w:val="6743C683"/>
    <w:rsid w:val="67FC7BBB"/>
    <w:rsid w:val="69082F94"/>
    <w:rsid w:val="697F88F6"/>
    <w:rsid w:val="69850143"/>
    <w:rsid w:val="6A95C6D9"/>
    <w:rsid w:val="6B35279A"/>
    <w:rsid w:val="6C38FEEB"/>
    <w:rsid w:val="6CA83F80"/>
    <w:rsid w:val="6D6C8939"/>
    <w:rsid w:val="6DE759F6"/>
    <w:rsid w:val="6EDA1E4F"/>
    <w:rsid w:val="6F672FB7"/>
    <w:rsid w:val="7017251D"/>
    <w:rsid w:val="708057E2"/>
    <w:rsid w:val="718378C2"/>
    <w:rsid w:val="728FD74A"/>
    <w:rsid w:val="72A5D1C5"/>
    <w:rsid w:val="72CA4502"/>
    <w:rsid w:val="7312E2BB"/>
    <w:rsid w:val="7321604E"/>
    <w:rsid w:val="74FBCE31"/>
    <w:rsid w:val="75017E03"/>
    <w:rsid w:val="758C15C6"/>
    <w:rsid w:val="77AE39AE"/>
    <w:rsid w:val="77BB9A91"/>
    <w:rsid w:val="7852FAF6"/>
    <w:rsid w:val="78F81649"/>
    <w:rsid w:val="7B1D5F40"/>
    <w:rsid w:val="7CAC66C6"/>
    <w:rsid w:val="7CE089E2"/>
    <w:rsid w:val="7D0A1BD6"/>
    <w:rsid w:val="7DB8BA81"/>
    <w:rsid w:val="7F2598D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FA9834"/>
  <w15:chartTrackingRefBased/>
  <w15:docId w15:val="{E0E98EE4-2DBF-446B-830C-558E87E0A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E33"/>
    <w:pPr>
      <w:spacing w:after="180"/>
    </w:pPr>
    <w:rPr>
      <w:sz w:val="18"/>
    </w:rPr>
  </w:style>
  <w:style w:type="paragraph" w:styleId="Heading1">
    <w:name w:val="heading 1"/>
    <w:aliases w:val="H1-no dt pt"/>
    <w:basedOn w:val="Normal"/>
    <w:next w:val="Normal"/>
    <w:link w:val="Heading1Char"/>
    <w:uiPriority w:val="9"/>
    <w:qFormat/>
    <w:rsid w:val="00F60BFB"/>
    <w:pPr>
      <w:keepNext/>
      <w:keepLines/>
      <w:numPr>
        <w:numId w:val="28"/>
      </w:numPr>
      <w:spacing w:after="380"/>
      <w:outlineLvl w:val="0"/>
    </w:pPr>
    <w:rPr>
      <w:rFonts w:asciiTheme="majorHAnsi" w:eastAsiaTheme="majorEastAsia" w:hAnsiTheme="majorHAnsi" w:cstheme="majorBidi"/>
      <w:b/>
      <w:color w:val="2C4BA0" w:themeColor="accent1"/>
      <w:sz w:val="44"/>
      <w:szCs w:val="32"/>
    </w:rPr>
  </w:style>
  <w:style w:type="paragraph" w:styleId="Heading2">
    <w:name w:val="heading 2"/>
    <w:aliases w:val="Heading 2 - no dt pt"/>
    <w:basedOn w:val="Normal"/>
    <w:next w:val="Normal"/>
    <w:link w:val="Heading2Char"/>
    <w:uiPriority w:val="9"/>
    <w:qFormat/>
    <w:rsid w:val="00F60BFB"/>
    <w:pPr>
      <w:keepNext/>
      <w:keepLines/>
      <w:numPr>
        <w:ilvl w:val="1"/>
        <w:numId w:val="28"/>
      </w:numPr>
      <w:spacing w:before="280" w:after="240"/>
      <w:outlineLvl w:val="1"/>
    </w:pPr>
    <w:rPr>
      <w:rFonts w:asciiTheme="majorHAnsi" w:eastAsiaTheme="majorEastAsia" w:hAnsiTheme="majorHAnsi" w:cstheme="majorBidi"/>
      <w:b/>
      <w:color w:val="2C4BA0" w:themeColor="accent1"/>
      <w:sz w:val="28"/>
      <w:szCs w:val="26"/>
    </w:rPr>
  </w:style>
  <w:style w:type="paragraph" w:styleId="Heading3">
    <w:name w:val="heading 3"/>
    <w:aliases w:val="Heading 3-no dt pt"/>
    <w:basedOn w:val="Normal"/>
    <w:next w:val="Normal"/>
    <w:link w:val="Heading3Char"/>
    <w:uiPriority w:val="9"/>
    <w:qFormat/>
    <w:rsid w:val="00F60BFB"/>
    <w:pPr>
      <w:keepNext/>
      <w:keepLines/>
      <w:numPr>
        <w:ilvl w:val="2"/>
        <w:numId w:val="28"/>
      </w:numPr>
      <w:spacing w:before="240" w:after="100"/>
      <w:outlineLvl w:val="2"/>
    </w:pPr>
    <w:rPr>
      <w:rFonts w:asciiTheme="majorHAnsi" w:eastAsiaTheme="majorEastAsia" w:hAnsiTheme="majorHAnsi" w:cstheme="majorBidi"/>
      <w:b/>
      <w:color w:val="000000" w:themeColor="text2"/>
      <w:sz w:val="20"/>
      <w:szCs w:val="24"/>
    </w:rPr>
  </w:style>
  <w:style w:type="paragraph" w:styleId="Heading4">
    <w:name w:val="heading 4"/>
    <w:basedOn w:val="PageSubtitle"/>
    <w:next w:val="Normal"/>
    <w:link w:val="Heading4Char"/>
    <w:uiPriority w:val="9"/>
    <w:qFormat/>
    <w:rsid w:val="005E29B4"/>
    <w:pPr>
      <w:numPr>
        <w:ilvl w:val="5"/>
      </w:numPr>
      <w:spacing w:before="200"/>
      <w:outlineLvl w:val="3"/>
    </w:pPr>
    <w:rPr>
      <w:b w:val="0"/>
      <w:i/>
      <w:color w:val="auto"/>
      <w:szCs w:val="18"/>
    </w:rPr>
  </w:style>
  <w:style w:type="paragraph" w:styleId="Heading5">
    <w:name w:val="heading 5"/>
    <w:basedOn w:val="Heading4"/>
    <w:next w:val="Normal"/>
    <w:link w:val="Heading5Char"/>
    <w:uiPriority w:val="9"/>
    <w:qFormat/>
    <w:rsid w:val="00A014E5"/>
    <w:pPr>
      <w:numPr>
        <w:ilvl w:val="0"/>
        <w:numId w:val="0"/>
      </w:numPr>
      <w:ind w:left="1134" w:hanging="1134"/>
      <w:outlineLvl w:val="4"/>
    </w:pPr>
    <w:rPr>
      <w:b/>
      <w:i w:val="0"/>
      <w:color w:val="2C4BA0" w:themeColor="accent1"/>
      <w:sz w:val="18"/>
    </w:rPr>
  </w:style>
  <w:style w:type="paragraph" w:styleId="Heading6">
    <w:name w:val="heading 6"/>
    <w:basedOn w:val="Heading4"/>
    <w:next w:val="Normal"/>
    <w:link w:val="Heading6Char"/>
    <w:uiPriority w:val="9"/>
    <w:qFormat/>
    <w:rsid w:val="005E29B4"/>
    <w:pPr>
      <w:outlineLvl w:val="5"/>
    </w:pPr>
    <w:rPr>
      <w:b/>
      <w:i w:val="0"/>
      <w:color w:val="6D6868" w:themeColor="accent2"/>
      <w:sz w:val="18"/>
    </w:rPr>
  </w:style>
  <w:style w:type="paragraph" w:styleId="Heading7">
    <w:name w:val="heading 7"/>
    <w:basedOn w:val="Normal"/>
    <w:next w:val="Normal"/>
    <w:link w:val="Heading7Char"/>
    <w:uiPriority w:val="9"/>
    <w:semiHidden/>
    <w:unhideWhenUsed/>
    <w:rsid w:val="00133B8B"/>
    <w:pPr>
      <w:keepNext/>
      <w:keepLines/>
      <w:numPr>
        <w:ilvl w:val="6"/>
        <w:numId w:val="9"/>
      </w:numPr>
      <w:spacing w:before="40" w:after="0"/>
      <w:outlineLvl w:val="6"/>
    </w:pPr>
    <w:rPr>
      <w:rFonts w:asciiTheme="majorHAnsi" w:eastAsiaTheme="majorEastAsia" w:hAnsiTheme="majorHAnsi" w:cstheme="majorBidi"/>
      <w:i/>
      <w:iCs/>
      <w:color w:val="16254F" w:themeColor="accent1" w:themeShade="7F"/>
    </w:rPr>
  </w:style>
  <w:style w:type="paragraph" w:styleId="Heading8">
    <w:name w:val="heading 8"/>
    <w:basedOn w:val="Normal"/>
    <w:next w:val="Normal"/>
    <w:link w:val="Heading8Char"/>
    <w:uiPriority w:val="9"/>
    <w:semiHidden/>
    <w:unhideWhenUsed/>
    <w:qFormat/>
    <w:rsid w:val="00133B8B"/>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33B8B"/>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Title"/>
    <w:next w:val="Normal"/>
    <w:link w:val="DateChar"/>
    <w:uiPriority w:val="99"/>
    <w:unhideWhenUsed/>
    <w:rsid w:val="0029388F"/>
    <w:pPr>
      <w:framePr w:wrap="notBeside"/>
      <w:spacing w:after="100" w:line="240" w:lineRule="auto"/>
    </w:pPr>
    <w:rPr>
      <w:b/>
      <w:bCs/>
      <w:caps/>
      <w:color w:val="2C4BA0" w:themeColor="accent1"/>
      <w:spacing w:val="30"/>
      <w:sz w:val="28"/>
      <w:szCs w:val="28"/>
    </w:rPr>
  </w:style>
  <w:style w:type="character" w:customStyle="1" w:styleId="DateChar">
    <w:name w:val="Date Char"/>
    <w:basedOn w:val="DefaultParagraphFont"/>
    <w:link w:val="Date"/>
    <w:uiPriority w:val="99"/>
    <w:rsid w:val="0029388F"/>
    <w:rPr>
      <w:b/>
      <w:bCs/>
      <w:caps/>
      <w:color w:val="2C4BA0" w:themeColor="accent1"/>
      <w:spacing w:val="30"/>
      <w:kern w:val="2"/>
      <w:sz w:val="28"/>
      <w:szCs w:val="28"/>
      <w14:ligatures w14:val="standardContextual"/>
    </w:rPr>
  </w:style>
  <w:style w:type="paragraph" w:styleId="NoSpacing">
    <w:name w:val="No Spacing"/>
    <w:basedOn w:val="Normal"/>
    <w:link w:val="NoSpacingChar"/>
    <w:uiPriority w:val="1"/>
    <w:qFormat/>
    <w:rsid w:val="00D34DC7"/>
    <w:pPr>
      <w:spacing w:after="0"/>
    </w:pPr>
  </w:style>
  <w:style w:type="paragraph" w:styleId="ListBullet">
    <w:name w:val="List Bullet"/>
    <w:basedOn w:val="Normal"/>
    <w:uiPriority w:val="99"/>
    <w:unhideWhenUsed/>
    <w:qFormat/>
    <w:rsid w:val="00AB3B45"/>
    <w:pPr>
      <w:numPr>
        <w:numId w:val="6"/>
      </w:numPr>
    </w:pPr>
  </w:style>
  <w:style w:type="paragraph" w:styleId="ListBullet2">
    <w:name w:val="List Bullet 2"/>
    <w:aliases w:val="List Bullet - Green"/>
    <w:basedOn w:val="Normal"/>
    <w:uiPriority w:val="99"/>
    <w:unhideWhenUsed/>
    <w:qFormat/>
    <w:rsid w:val="00FF1B50"/>
    <w:pPr>
      <w:numPr>
        <w:ilvl w:val="1"/>
        <w:numId w:val="6"/>
      </w:numPr>
    </w:pPr>
  </w:style>
  <w:style w:type="paragraph" w:styleId="ListNumber">
    <w:name w:val="List Number"/>
    <w:basedOn w:val="Normal"/>
    <w:uiPriority w:val="99"/>
    <w:unhideWhenUsed/>
    <w:qFormat/>
    <w:rsid w:val="00857FCE"/>
    <w:pPr>
      <w:ind w:left="851" w:hanging="851"/>
    </w:pPr>
    <w:rPr>
      <w:b/>
    </w:rPr>
  </w:style>
  <w:style w:type="numbering" w:customStyle="1" w:styleId="Bullets">
    <w:name w:val="Bullets"/>
    <w:uiPriority w:val="99"/>
    <w:rsid w:val="00FF1B50"/>
    <w:pPr>
      <w:numPr>
        <w:numId w:val="1"/>
      </w:numPr>
    </w:pPr>
  </w:style>
  <w:style w:type="character" w:customStyle="1" w:styleId="Heading1Char">
    <w:name w:val="Heading 1 Char"/>
    <w:aliases w:val="H1-no dt pt Char"/>
    <w:basedOn w:val="DefaultParagraphFont"/>
    <w:link w:val="Heading1"/>
    <w:uiPriority w:val="9"/>
    <w:rsid w:val="00F60BFB"/>
    <w:rPr>
      <w:rFonts w:asciiTheme="majorHAnsi" w:eastAsiaTheme="majorEastAsia" w:hAnsiTheme="majorHAnsi" w:cstheme="majorBidi"/>
      <w:b/>
      <w:color w:val="2C4BA0" w:themeColor="accent1"/>
      <w:sz w:val="44"/>
      <w:szCs w:val="32"/>
    </w:rPr>
  </w:style>
  <w:style w:type="paragraph" w:styleId="ListNumber2">
    <w:name w:val="List Number 2"/>
    <w:basedOn w:val="Normal"/>
    <w:uiPriority w:val="99"/>
    <w:unhideWhenUsed/>
    <w:qFormat/>
    <w:rsid w:val="00857FCE"/>
    <w:pPr>
      <w:ind w:left="851" w:hanging="851"/>
    </w:pPr>
  </w:style>
  <w:style w:type="character" w:customStyle="1" w:styleId="Heading2Char">
    <w:name w:val="Heading 2 Char"/>
    <w:aliases w:val="Heading 2 - no dt pt Char"/>
    <w:basedOn w:val="DefaultParagraphFont"/>
    <w:link w:val="Heading2"/>
    <w:uiPriority w:val="9"/>
    <w:rsid w:val="00F60BFB"/>
    <w:rPr>
      <w:rFonts w:asciiTheme="majorHAnsi" w:eastAsiaTheme="majorEastAsia" w:hAnsiTheme="majorHAnsi" w:cstheme="majorBidi"/>
      <w:b/>
      <w:color w:val="2C4BA0" w:themeColor="accent1"/>
      <w:sz w:val="28"/>
      <w:szCs w:val="26"/>
    </w:rPr>
  </w:style>
  <w:style w:type="paragraph" w:styleId="ListParagraph">
    <w:name w:val="List Paragraph"/>
    <w:basedOn w:val="Normal"/>
    <w:uiPriority w:val="34"/>
    <w:rsid w:val="00594496"/>
    <w:pPr>
      <w:ind w:left="284"/>
      <w:contextualSpacing/>
    </w:pPr>
  </w:style>
  <w:style w:type="paragraph" w:styleId="Header">
    <w:name w:val="header"/>
    <w:link w:val="HeaderChar"/>
    <w:uiPriority w:val="99"/>
    <w:unhideWhenUsed/>
    <w:rsid w:val="006B23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2360"/>
  </w:style>
  <w:style w:type="paragraph" w:styleId="Footer">
    <w:name w:val="footer"/>
    <w:link w:val="FooterChar"/>
    <w:uiPriority w:val="99"/>
    <w:unhideWhenUsed/>
    <w:rsid w:val="00425260"/>
    <w:pPr>
      <w:tabs>
        <w:tab w:val="right" w:pos="9044"/>
      </w:tabs>
      <w:spacing w:after="0" w:line="228" w:lineRule="auto"/>
    </w:pPr>
    <w:rPr>
      <w:color w:val="6F7072" w:themeColor="accent6"/>
      <w:sz w:val="16"/>
    </w:rPr>
  </w:style>
  <w:style w:type="character" w:customStyle="1" w:styleId="FooterChar">
    <w:name w:val="Footer Char"/>
    <w:basedOn w:val="DefaultParagraphFont"/>
    <w:link w:val="Footer"/>
    <w:uiPriority w:val="99"/>
    <w:rsid w:val="00425260"/>
    <w:rPr>
      <w:color w:val="6F7072" w:themeColor="accent6"/>
      <w:sz w:val="16"/>
    </w:rPr>
  </w:style>
  <w:style w:type="numbering" w:customStyle="1" w:styleId="Numbering">
    <w:name w:val="Numbering"/>
    <w:uiPriority w:val="99"/>
    <w:rsid w:val="00857FCE"/>
    <w:pPr>
      <w:numPr>
        <w:numId w:val="2"/>
      </w:numPr>
    </w:pPr>
  </w:style>
  <w:style w:type="paragraph" w:styleId="ListBullet3">
    <w:name w:val="List Bullet 3"/>
    <w:aliases w:val="List Bullet - Blue"/>
    <w:basedOn w:val="Normal"/>
    <w:uiPriority w:val="99"/>
    <w:unhideWhenUsed/>
    <w:qFormat/>
    <w:rsid w:val="00FF1B50"/>
    <w:pPr>
      <w:numPr>
        <w:ilvl w:val="2"/>
        <w:numId w:val="6"/>
      </w:numPr>
    </w:pPr>
  </w:style>
  <w:style w:type="paragraph" w:styleId="ListContinue2">
    <w:name w:val="List Continue 2"/>
    <w:basedOn w:val="Normal"/>
    <w:uiPriority w:val="99"/>
    <w:unhideWhenUsed/>
    <w:qFormat/>
    <w:rsid w:val="006427AC"/>
    <w:pPr>
      <w:ind w:left="567"/>
    </w:pPr>
  </w:style>
  <w:style w:type="paragraph" w:styleId="ListNumber3">
    <w:name w:val="List Number 3"/>
    <w:basedOn w:val="Normal"/>
    <w:uiPriority w:val="99"/>
    <w:unhideWhenUsed/>
    <w:qFormat/>
    <w:rsid w:val="00857FCE"/>
    <w:pPr>
      <w:tabs>
        <w:tab w:val="num" w:pos="1134"/>
      </w:tabs>
      <w:ind w:left="851" w:hanging="851"/>
    </w:pPr>
  </w:style>
  <w:style w:type="paragraph" w:styleId="ListNumber4">
    <w:name w:val="List Number 4"/>
    <w:basedOn w:val="Normal"/>
    <w:uiPriority w:val="99"/>
    <w:unhideWhenUsed/>
    <w:qFormat/>
    <w:rsid w:val="00857FCE"/>
    <w:pPr>
      <w:ind w:left="851" w:hanging="851"/>
    </w:pPr>
  </w:style>
  <w:style w:type="paragraph" w:styleId="ListNumber5">
    <w:name w:val="List Number 5"/>
    <w:basedOn w:val="Normal"/>
    <w:uiPriority w:val="99"/>
    <w:unhideWhenUsed/>
    <w:rsid w:val="00857FCE"/>
    <w:pPr>
      <w:ind w:left="1134" w:hanging="1134"/>
      <w:contextualSpacing/>
    </w:pPr>
  </w:style>
  <w:style w:type="paragraph" w:styleId="ListContinue">
    <w:name w:val="List Continue"/>
    <w:basedOn w:val="Normal"/>
    <w:uiPriority w:val="99"/>
    <w:unhideWhenUsed/>
    <w:qFormat/>
    <w:rsid w:val="006427AC"/>
    <w:pPr>
      <w:ind w:left="284"/>
    </w:pPr>
  </w:style>
  <w:style w:type="paragraph" w:styleId="ListContinue3">
    <w:name w:val="List Continue 3"/>
    <w:basedOn w:val="Normal"/>
    <w:uiPriority w:val="99"/>
    <w:unhideWhenUsed/>
    <w:qFormat/>
    <w:rsid w:val="006427AC"/>
    <w:pPr>
      <w:ind w:left="851"/>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aliases w:val="Heading 3-no dt pt Char"/>
    <w:basedOn w:val="DefaultParagraphFont"/>
    <w:link w:val="Heading3"/>
    <w:uiPriority w:val="9"/>
    <w:rsid w:val="00F60BFB"/>
    <w:rPr>
      <w:rFonts w:asciiTheme="majorHAnsi" w:eastAsiaTheme="majorEastAsia" w:hAnsiTheme="majorHAnsi" w:cstheme="majorBidi"/>
      <w:b/>
      <w:color w:val="000000" w:themeColor="text2"/>
      <w:sz w:val="20"/>
      <w:szCs w:val="24"/>
    </w:rPr>
  </w:style>
  <w:style w:type="character" w:customStyle="1" w:styleId="Heading4Char">
    <w:name w:val="Heading 4 Char"/>
    <w:basedOn w:val="DefaultParagraphFont"/>
    <w:link w:val="Heading4"/>
    <w:uiPriority w:val="9"/>
    <w:rsid w:val="005E29B4"/>
    <w:rPr>
      <w:rFonts w:asciiTheme="majorHAnsi" w:eastAsiaTheme="majorEastAsia" w:hAnsiTheme="majorHAnsi" w:cstheme="majorBidi"/>
      <w:i/>
      <w:kern w:val="2"/>
      <w:sz w:val="20"/>
      <w:szCs w:val="18"/>
      <w14:ligatures w14:val="standardContextual"/>
    </w:rPr>
  </w:style>
  <w:style w:type="character" w:customStyle="1" w:styleId="Heading5Char">
    <w:name w:val="Heading 5 Char"/>
    <w:basedOn w:val="DefaultParagraphFont"/>
    <w:link w:val="Heading5"/>
    <w:uiPriority w:val="9"/>
    <w:rsid w:val="00A014E5"/>
    <w:rPr>
      <w:rFonts w:asciiTheme="majorHAnsi" w:eastAsiaTheme="majorEastAsia" w:hAnsiTheme="majorHAnsi" w:cstheme="majorBidi"/>
      <w:b/>
      <w:color w:val="2C4BA0" w:themeColor="accent1"/>
      <w:kern w:val="2"/>
      <w:sz w:val="18"/>
      <w:szCs w:val="18"/>
      <w14:ligatures w14:val="standardContextual"/>
    </w:rPr>
  </w:style>
  <w:style w:type="numbering" w:customStyle="1" w:styleId="ListHeadings">
    <w:name w:val="List Headings"/>
    <w:uiPriority w:val="99"/>
    <w:rsid w:val="005E29B4"/>
    <w:pPr>
      <w:numPr>
        <w:numId w:val="3"/>
      </w:numPr>
    </w:pPr>
  </w:style>
  <w:style w:type="paragraph" w:styleId="Title">
    <w:name w:val="Title"/>
    <w:basedOn w:val="Normal"/>
    <w:next w:val="Normal"/>
    <w:link w:val="TitleChar"/>
    <w:uiPriority w:val="10"/>
    <w:rsid w:val="008E6341"/>
    <w:pPr>
      <w:framePr w:w="6991" w:h="2268" w:wrap="around" w:vAnchor="page" w:hAnchor="page" w:x="426" w:y="2269" w:anchorLock="1"/>
      <w:spacing w:after="0" w:line="230" w:lineRule="auto"/>
    </w:pPr>
    <w:rPr>
      <w:sz w:val="44"/>
    </w:rPr>
  </w:style>
  <w:style w:type="character" w:customStyle="1" w:styleId="TitleChar">
    <w:name w:val="Title Char"/>
    <w:basedOn w:val="DefaultParagraphFont"/>
    <w:link w:val="Title"/>
    <w:uiPriority w:val="10"/>
    <w:rsid w:val="008E6341"/>
    <w:rPr>
      <w:sz w:val="44"/>
    </w:rPr>
  </w:style>
  <w:style w:type="paragraph" w:customStyle="1" w:styleId="Call-outbox">
    <w:name w:val="Call-out box"/>
    <w:basedOn w:val="Normal"/>
    <w:link w:val="Call-outboxChar"/>
    <w:uiPriority w:val="15"/>
    <w:rsid w:val="006901EA"/>
    <w:pPr>
      <w:framePr w:w="3402" w:wrap="around" w:vAnchor="text" w:hAnchor="text" w:y="1"/>
      <w:pBdr>
        <w:top w:val="single" w:sz="4" w:space="4" w:color="F1F2F2" w:themeColor="accent3"/>
        <w:left w:val="single" w:sz="4" w:space="4" w:color="F1F2F2" w:themeColor="accent3"/>
        <w:bottom w:val="single" w:sz="4" w:space="4" w:color="F1F2F2" w:themeColor="accent3"/>
        <w:right w:val="single" w:sz="4" w:space="4" w:color="F1F2F2" w:themeColor="accent3"/>
      </w:pBdr>
      <w:shd w:val="clear" w:color="auto" w:fill="F1F2F2" w:themeFill="accent3"/>
      <w:ind w:left="113" w:right="113"/>
    </w:pPr>
    <w:rPr>
      <w:kern w:val="2"/>
      <w14:ligatures w14:val="standardContextual"/>
    </w:rPr>
  </w:style>
  <w:style w:type="paragraph" w:customStyle="1" w:styleId="Call-outboxHeadingwithicon">
    <w:name w:val="Call-out box Heading with icon"/>
    <w:basedOn w:val="Call-outbox"/>
    <w:next w:val="Call-outbox"/>
    <w:link w:val="Call-outboxHeadingwithiconChar"/>
    <w:uiPriority w:val="15"/>
    <w:rsid w:val="00A93B6D"/>
    <w:pPr>
      <w:framePr w:wrap="around"/>
      <w:numPr>
        <w:numId w:val="18"/>
      </w:numPr>
      <w:spacing w:after="80"/>
    </w:pPr>
    <w:rPr>
      <w:b/>
      <w:color w:val="2C4BA0" w:themeColor="accent1"/>
    </w:rPr>
  </w:style>
  <w:style w:type="character" w:customStyle="1" w:styleId="Call-outboxChar">
    <w:name w:val="Call-out box Char"/>
    <w:basedOn w:val="DefaultParagraphFont"/>
    <w:link w:val="Call-outbox"/>
    <w:uiPriority w:val="15"/>
    <w:rsid w:val="006901EA"/>
    <w:rPr>
      <w:kern w:val="2"/>
      <w:sz w:val="18"/>
      <w:shd w:val="clear" w:color="auto" w:fill="F1F2F2" w:themeFill="accent3"/>
      <w14:ligatures w14:val="standardContextual"/>
    </w:rPr>
  </w:style>
  <w:style w:type="character" w:customStyle="1" w:styleId="Call-outboxHeadingwithiconChar">
    <w:name w:val="Call-out box Heading with icon Char"/>
    <w:basedOn w:val="Call-outboxChar"/>
    <w:link w:val="Call-outboxHeadingwithicon"/>
    <w:uiPriority w:val="15"/>
    <w:rsid w:val="00A93B6D"/>
    <w:rPr>
      <w:b/>
      <w:color w:val="2C4BA0" w:themeColor="accent1"/>
      <w:kern w:val="2"/>
      <w:sz w:val="18"/>
      <w:shd w:val="clear" w:color="auto" w:fill="F1F2F2" w:themeFill="accent3"/>
      <w14:ligatures w14:val="standardContextual"/>
    </w:rPr>
  </w:style>
  <w:style w:type="paragraph" w:customStyle="1" w:styleId="Heading1-NoNumber">
    <w:name w:val="Heading 1 - No Number"/>
    <w:basedOn w:val="Heading1"/>
    <w:next w:val="Normal"/>
    <w:link w:val="Heading1-NoNumberChar"/>
    <w:uiPriority w:val="9"/>
    <w:qFormat/>
    <w:rsid w:val="00EA733C"/>
    <w:pPr>
      <w:ind w:left="0" w:firstLine="0"/>
      <w:outlineLvl w:val="9"/>
    </w:pPr>
  </w:style>
  <w:style w:type="paragraph" w:customStyle="1" w:styleId="Heading2-NoNumber">
    <w:name w:val="Heading 2 - No Number"/>
    <w:basedOn w:val="Heading2"/>
    <w:next w:val="Normal"/>
    <w:link w:val="Heading2-NoNumberChar"/>
    <w:uiPriority w:val="9"/>
    <w:qFormat/>
    <w:rsid w:val="005559E4"/>
    <w:pPr>
      <w:outlineLvl w:val="9"/>
    </w:pPr>
  </w:style>
  <w:style w:type="character" w:customStyle="1" w:styleId="Heading1-NoNumberChar">
    <w:name w:val="Heading 1 - No Number Char"/>
    <w:basedOn w:val="Heading1Char"/>
    <w:link w:val="Heading1-NoNumber"/>
    <w:uiPriority w:val="9"/>
    <w:rsid w:val="00EA733C"/>
    <w:rPr>
      <w:rFonts w:asciiTheme="majorHAnsi" w:eastAsiaTheme="majorEastAsia" w:hAnsiTheme="majorHAnsi" w:cstheme="majorBidi"/>
      <w:b/>
      <w:color w:val="2C4BA0" w:themeColor="accent1"/>
      <w:sz w:val="44"/>
      <w:szCs w:val="32"/>
    </w:rPr>
  </w:style>
  <w:style w:type="character" w:customStyle="1" w:styleId="Heading2-NoNumberChar">
    <w:name w:val="Heading 2 - No Number Char"/>
    <w:basedOn w:val="Heading2Char"/>
    <w:link w:val="Heading2-NoNumber"/>
    <w:uiPriority w:val="9"/>
    <w:rsid w:val="005559E4"/>
    <w:rPr>
      <w:rFonts w:asciiTheme="majorHAnsi" w:eastAsiaTheme="majorEastAsia" w:hAnsiTheme="majorHAnsi" w:cstheme="majorBidi"/>
      <w:b/>
      <w:color w:val="2C4BA0" w:themeColor="accent1"/>
      <w:kern w:val="2"/>
      <w:sz w:val="28"/>
      <w:szCs w:val="26"/>
      <w14:ligatures w14:val="standardContextual"/>
    </w:rPr>
  </w:style>
  <w:style w:type="paragraph" w:styleId="ListContinue5">
    <w:name w:val="List Continue 5"/>
    <w:basedOn w:val="Normal"/>
    <w:uiPriority w:val="99"/>
    <w:unhideWhenUsed/>
    <w:rsid w:val="00593314"/>
    <w:pPr>
      <w:ind w:left="1415"/>
      <w:contextualSpacing/>
    </w:pPr>
  </w:style>
  <w:style w:type="table" w:styleId="TableGrid">
    <w:name w:val="Table Grid"/>
    <w:aliases w:val="Contents Tables,NWRL Table,McLL Table General Text,PB Table,SWRL,TfNSW Table,ICB Table,Table Grid Main Report,Table Financial Statements,Contents Tables1,SW Blue Table"/>
    <w:basedOn w:val="TableNormal"/>
    <w:uiPriority w:val="5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TABLE,Caption Char Char Char Char,Caption1 Char Char,Caption Char Char,Caption Char Char Char Char Char Char Char,Caption Char1,Caption Char Char Char Char1,Caption1 Char Char1,Caption Char Char1 Char Char Char,Table Caption,Char,Figure,Item"/>
    <w:basedOn w:val="Normal"/>
    <w:next w:val="Normal"/>
    <w:link w:val="CaptionChar"/>
    <w:uiPriority w:val="35"/>
    <w:unhideWhenUsed/>
    <w:qFormat/>
    <w:rsid w:val="005C0C2B"/>
    <w:pPr>
      <w:tabs>
        <w:tab w:val="left" w:pos="1134"/>
      </w:tabs>
      <w:spacing w:before="60" w:after="60"/>
    </w:pPr>
    <w:rPr>
      <w:sz w:val="16"/>
    </w:rPr>
  </w:style>
  <w:style w:type="paragraph" w:styleId="List">
    <w:name w:val="List"/>
    <w:basedOn w:val="Normal"/>
    <w:uiPriority w:val="99"/>
    <w:unhideWhenUsed/>
    <w:rsid w:val="00E25474"/>
    <w:pPr>
      <w:numPr>
        <w:numId w:val="4"/>
      </w:numPr>
      <w:contextualSpacing/>
    </w:pPr>
  </w:style>
  <w:style w:type="paragraph" w:styleId="List2">
    <w:name w:val="List 2"/>
    <w:basedOn w:val="Normal"/>
    <w:uiPriority w:val="99"/>
    <w:unhideWhenUsed/>
    <w:rsid w:val="00E25474"/>
    <w:pPr>
      <w:numPr>
        <w:ilvl w:val="1"/>
        <w:numId w:val="4"/>
      </w:numPr>
      <w:contextualSpacing/>
    </w:pPr>
  </w:style>
  <w:style w:type="numbering" w:customStyle="1" w:styleId="LetteredList">
    <w:name w:val="Lettered List"/>
    <w:uiPriority w:val="99"/>
    <w:rsid w:val="00E25474"/>
    <w:pPr>
      <w:numPr>
        <w:numId w:val="4"/>
      </w:numPr>
    </w:pPr>
  </w:style>
  <w:style w:type="paragraph" w:styleId="Subtitle">
    <w:name w:val="Subtitle"/>
    <w:basedOn w:val="Title"/>
    <w:next w:val="Normal"/>
    <w:link w:val="SubtitleChar"/>
    <w:uiPriority w:val="11"/>
    <w:rsid w:val="008E6341"/>
    <w:pPr>
      <w:framePr w:wrap="around"/>
      <w:spacing w:after="100" w:line="240" w:lineRule="auto"/>
    </w:pPr>
    <w:rPr>
      <w:b/>
      <w:caps/>
      <w:color w:val="2C4BA0" w:themeColor="accent1"/>
      <w:spacing w:val="30"/>
      <w:sz w:val="28"/>
    </w:rPr>
  </w:style>
  <w:style w:type="character" w:customStyle="1" w:styleId="SubtitleChar">
    <w:name w:val="Subtitle Char"/>
    <w:basedOn w:val="DefaultParagraphFont"/>
    <w:link w:val="Subtitle"/>
    <w:uiPriority w:val="11"/>
    <w:rsid w:val="008E6341"/>
    <w:rPr>
      <w:b/>
      <w:caps/>
      <w:color w:val="2C4BA0" w:themeColor="accent1"/>
      <w:spacing w:val="30"/>
      <w:sz w:val="28"/>
    </w:rPr>
  </w:style>
  <w:style w:type="paragraph" w:styleId="TOCHeading">
    <w:name w:val="TOC Heading"/>
    <w:basedOn w:val="Heading1"/>
    <w:next w:val="Normal"/>
    <w:uiPriority w:val="39"/>
    <w:unhideWhenUsed/>
    <w:qFormat/>
    <w:rsid w:val="0084085C"/>
    <w:pPr>
      <w:spacing w:after="400"/>
      <w:ind w:left="0" w:firstLine="0"/>
      <w:outlineLvl w:val="9"/>
    </w:pPr>
    <w:rPr>
      <w:color w:val="FFFFFF" w:themeColor="background1"/>
      <w:lang w:val="en-US"/>
    </w:rPr>
  </w:style>
  <w:style w:type="paragraph" w:styleId="TOC2">
    <w:name w:val="toc 2"/>
    <w:basedOn w:val="Normal"/>
    <w:next w:val="Normal"/>
    <w:autoRedefine/>
    <w:uiPriority w:val="39"/>
    <w:unhideWhenUsed/>
    <w:rsid w:val="008655C1"/>
    <w:pPr>
      <w:pBdr>
        <w:bottom w:val="single" w:sz="4" w:space="1" w:color="FFFFFF" w:themeColor="background1"/>
        <w:between w:val="single" w:sz="4" w:space="1" w:color="FFFFFF" w:themeColor="background1"/>
      </w:pBdr>
      <w:tabs>
        <w:tab w:val="left" w:pos="1134"/>
        <w:tab w:val="right" w:pos="9072"/>
      </w:tabs>
      <w:spacing w:before="60" w:after="0" w:line="300" w:lineRule="auto"/>
      <w:ind w:firstLine="567"/>
    </w:pPr>
    <w:rPr>
      <w:color w:val="FFFFFF" w:themeColor="background1"/>
    </w:rPr>
  </w:style>
  <w:style w:type="paragraph" w:styleId="TOC3">
    <w:name w:val="toc 3"/>
    <w:basedOn w:val="Normal"/>
    <w:next w:val="Normal"/>
    <w:autoRedefine/>
    <w:uiPriority w:val="39"/>
    <w:unhideWhenUsed/>
    <w:rsid w:val="008655C1"/>
    <w:pPr>
      <w:pBdr>
        <w:bottom w:val="single" w:sz="4" w:space="1" w:color="FFFFFF" w:themeColor="background1"/>
        <w:between w:val="single" w:sz="4" w:space="1" w:color="FFFFFF" w:themeColor="background1"/>
      </w:pBdr>
      <w:tabs>
        <w:tab w:val="left" w:pos="1701"/>
        <w:tab w:val="right" w:pos="9072"/>
      </w:tabs>
      <w:spacing w:before="60" w:after="0" w:line="300" w:lineRule="auto"/>
      <w:ind w:firstLine="1134"/>
    </w:pPr>
    <w:rPr>
      <w:color w:val="FFFFFF" w:themeColor="background1"/>
    </w:r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CoverLogo">
    <w:name w:val="Cover Logo"/>
    <w:link w:val="CoverLogoChar"/>
    <w:rsid w:val="00A77ABB"/>
    <w:pPr>
      <w:framePr w:w="964" w:h="635" w:hRule="exact" w:wrap="around" w:vAnchor="page" w:hAnchor="page" w:x="10281" w:y="15582" w:anchorLock="1"/>
      <w:spacing w:after="0" w:line="240" w:lineRule="auto"/>
    </w:pPr>
    <w:rPr>
      <w:sz w:val="18"/>
    </w:rPr>
  </w:style>
  <w:style w:type="paragraph" w:customStyle="1" w:styleId="CoverDetails">
    <w:name w:val="Cover Details"/>
    <w:link w:val="CoverDetailsChar"/>
    <w:rsid w:val="00590568"/>
    <w:pPr>
      <w:framePr w:w="7655" w:h="454" w:hRule="exact" w:wrap="around" w:vAnchor="page" w:hAnchor="page" w:x="698" w:y="15707" w:anchorLock="1"/>
      <w:spacing w:after="0" w:line="240" w:lineRule="auto"/>
    </w:pPr>
    <w:rPr>
      <w:b/>
      <w:color w:val="FFFFFF" w:themeColor="background1"/>
      <w:sz w:val="16"/>
    </w:rPr>
  </w:style>
  <w:style w:type="character" w:customStyle="1" w:styleId="NoSpacingChar">
    <w:name w:val="No Spacing Char"/>
    <w:basedOn w:val="DefaultParagraphFont"/>
    <w:link w:val="NoSpacing"/>
    <w:uiPriority w:val="1"/>
    <w:rsid w:val="0081673B"/>
    <w:rPr>
      <w:sz w:val="18"/>
    </w:rPr>
  </w:style>
  <w:style w:type="character" w:customStyle="1" w:styleId="CoverLogoChar">
    <w:name w:val="Cover Logo Char"/>
    <w:basedOn w:val="NoSpacingChar"/>
    <w:link w:val="CoverLogo"/>
    <w:rsid w:val="00A77ABB"/>
    <w:rPr>
      <w:sz w:val="18"/>
    </w:rPr>
  </w:style>
  <w:style w:type="paragraph" w:customStyle="1" w:styleId="CoverDescription">
    <w:name w:val="Cover Description"/>
    <w:link w:val="CoverDescriptionChar"/>
    <w:rsid w:val="00FC31E7"/>
    <w:pPr>
      <w:framePr w:w="6708" w:wrap="around" w:vAnchor="page" w:hAnchor="page" w:x="710" w:y="5121" w:anchorLock="1"/>
      <w:spacing w:after="0" w:line="240" w:lineRule="auto"/>
    </w:pPr>
    <w:rPr>
      <w:b/>
      <w:color w:val="FFFFFF" w:themeColor="background1"/>
      <w:sz w:val="36"/>
    </w:rPr>
  </w:style>
  <w:style w:type="character" w:customStyle="1" w:styleId="CoverDetailsChar">
    <w:name w:val="Cover Details Char"/>
    <w:basedOn w:val="DefaultParagraphFont"/>
    <w:link w:val="CoverDetails"/>
    <w:rsid w:val="00590568"/>
    <w:rPr>
      <w:b/>
      <w:color w:val="FFFFFF" w:themeColor="background1"/>
      <w:sz w:val="16"/>
    </w:rPr>
  </w:style>
  <w:style w:type="paragraph" w:styleId="Quote">
    <w:name w:val="Quote"/>
    <w:basedOn w:val="Normal"/>
    <w:next w:val="Normal"/>
    <w:link w:val="QuoteChar"/>
    <w:uiPriority w:val="29"/>
    <w:qFormat/>
    <w:rsid w:val="00CC6183"/>
    <w:pPr>
      <w:spacing w:before="540" w:after="540"/>
    </w:pPr>
    <w:rPr>
      <w:color w:val="2C4BA0" w:themeColor="accent1"/>
      <w:sz w:val="24"/>
      <w:szCs w:val="24"/>
    </w:rPr>
  </w:style>
  <w:style w:type="character" w:customStyle="1" w:styleId="CoverDescriptionChar">
    <w:name w:val="Cover Description Char"/>
    <w:basedOn w:val="DefaultParagraphFont"/>
    <w:link w:val="CoverDescription"/>
    <w:rsid w:val="00FC31E7"/>
    <w:rPr>
      <w:b/>
      <w:color w:val="FFFFFF" w:themeColor="background1"/>
      <w:sz w:val="36"/>
    </w:rPr>
  </w:style>
  <w:style w:type="character" w:customStyle="1" w:styleId="QuoteChar">
    <w:name w:val="Quote Char"/>
    <w:basedOn w:val="DefaultParagraphFont"/>
    <w:link w:val="Quote"/>
    <w:uiPriority w:val="29"/>
    <w:rsid w:val="00CC6183"/>
    <w:rPr>
      <w:color w:val="2C4BA0" w:themeColor="accent1"/>
      <w:sz w:val="24"/>
      <w:szCs w:val="24"/>
    </w:rPr>
  </w:style>
  <w:style w:type="paragraph" w:customStyle="1" w:styleId="PageSubtitle">
    <w:name w:val="Page Subtitle"/>
    <w:basedOn w:val="Heading3"/>
    <w:next w:val="Normal"/>
    <w:link w:val="PageSubtitleChar"/>
    <w:uiPriority w:val="8"/>
    <w:qFormat/>
    <w:rsid w:val="00E85FE7"/>
    <w:pPr>
      <w:ind w:left="0" w:firstLine="0"/>
      <w:outlineLvl w:val="9"/>
    </w:pPr>
  </w:style>
  <w:style w:type="paragraph" w:customStyle="1" w:styleId="BG">
    <w:name w:val="BG"/>
    <w:next w:val="Normal"/>
    <w:link w:val="BGChar"/>
    <w:rsid w:val="00DB680C"/>
    <w:pPr>
      <w:framePr w:wrap="around" w:vAnchor="page" w:hAnchor="page" w:x="1" w:y="1" w:anchorLock="1"/>
      <w:spacing w:after="0" w:line="240" w:lineRule="auto"/>
    </w:pPr>
    <w:rPr>
      <w:sz w:val="18"/>
    </w:rPr>
  </w:style>
  <w:style w:type="character" w:customStyle="1" w:styleId="PageSubtitleChar">
    <w:name w:val="Page Subtitle Char"/>
    <w:basedOn w:val="Heading3Char"/>
    <w:link w:val="PageSubtitle"/>
    <w:uiPriority w:val="8"/>
    <w:rsid w:val="007074FE"/>
    <w:rPr>
      <w:rFonts w:asciiTheme="majorHAnsi" w:eastAsiaTheme="majorEastAsia" w:hAnsiTheme="majorHAnsi" w:cstheme="majorBidi"/>
      <w:b/>
      <w:color w:val="000000" w:themeColor="text2"/>
      <w:kern w:val="2"/>
      <w:sz w:val="20"/>
      <w:szCs w:val="24"/>
      <w14:ligatures w14:val="standardContextual"/>
    </w:rPr>
  </w:style>
  <w:style w:type="table" w:customStyle="1" w:styleId="WVTTable2">
    <w:name w:val="WVT Table 2"/>
    <w:basedOn w:val="TableNormal"/>
    <w:uiPriority w:val="99"/>
    <w:rsid w:val="000D422D"/>
    <w:pPr>
      <w:spacing w:after="0" w:line="240" w:lineRule="auto"/>
    </w:pPr>
    <w:tblPr>
      <w:tblStyleRowBandSize w:val="1"/>
      <w:tblStyleColBandSize w:val="1"/>
      <w:tblBorders>
        <w:insideH w:val="single" w:sz="8" w:space="0" w:color="FFFFFF" w:themeColor="background1"/>
      </w:tblBorders>
      <w:tblCellMar>
        <w:top w:w="57" w:type="dxa"/>
        <w:bottom w:w="57" w:type="dxa"/>
      </w:tblCellMar>
    </w:tblPr>
    <w:tcPr>
      <w:shd w:val="clear" w:color="auto" w:fill="F1F2F2" w:themeFill="accent3"/>
    </w:tcPr>
    <w:tblStylePr w:type="firstRow">
      <w:rPr>
        <w:b/>
        <w:color w:val="FFFFFF" w:themeColor="background1"/>
      </w:rPr>
      <w:tblPr/>
      <w:tcPr>
        <w:shd w:val="clear" w:color="auto" w:fill="6D6868" w:themeFill="accent2"/>
      </w:tcPr>
    </w:tblStylePr>
    <w:tblStylePr w:type="firstCol">
      <w:rPr>
        <w:b/>
        <w:color w:val="FFFFFF" w:themeColor="background1"/>
      </w:rPr>
      <w:tblPr/>
      <w:tcPr>
        <w:shd w:val="clear" w:color="auto" w:fill="6D6868" w:themeFill="accent2"/>
      </w:tcPr>
    </w:tblStylePr>
    <w:tblStylePr w:type="band2Horz">
      <w:tblPr/>
      <w:tcPr>
        <w:shd w:val="clear" w:color="auto" w:fill="FFFFFF" w:themeFill="background2"/>
      </w:tcPr>
    </w:tblStylePr>
  </w:style>
  <w:style w:type="character" w:customStyle="1" w:styleId="BGChar">
    <w:name w:val="BG Char"/>
    <w:basedOn w:val="DefaultParagraphFont"/>
    <w:link w:val="BG"/>
    <w:rsid w:val="00DB680C"/>
    <w:rPr>
      <w:sz w:val="18"/>
    </w:rPr>
  </w:style>
  <w:style w:type="table" w:customStyle="1" w:styleId="WVTTable1">
    <w:name w:val="WVT Table 1"/>
    <w:basedOn w:val="TableNormal"/>
    <w:uiPriority w:val="99"/>
    <w:rsid w:val="0043211E"/>
    <w:pPr>
      <w:spacing w:after="0" w:line="240" w:lineRule="auto"/>
    </w:pPr>
    <w:rPr>
      <w:sz w:val="16"/>
    </w:rPr>
    <w:tblPr>
      <w:tblStyleRowBandSize w:val="1"/>
      <w:tblBorders>
        <w:insideH w:val="single" w:sz="8" w:space="0" w:color="FFFFFF" w:themeColor="background1"/>
      </w:tblBorders>
      <w:tblCellMar>
        <w:top w:w="85" w:type="dxa"/>
        <w:left w:w="85" w:type="dxa"/>
        <w:bottom w:w="85" w:type="dxa"/>
        <w:right w:w="85" w:type="dxa"/>
      </w:tblCellMar>
    </w:tblPr>
    <w:tcPr>
      <w:shd w:val="clear" w:color="auto" w:fill="F1F2F2" w:themeFill="accent3"/>
    </w:tcPr>
    <w:tblStylePr w:type="firstRow">
      <w:rPr>
        <w:b/>
        <w:color w:val="6D6868" w:themeColor="accent2"/>
      </w:rPr>
      <w:tblPr/>
      <w:tcPr>
        <w:tcBorders>
          <w:top w:val="single" w:sz="8" w:space="0" w:color="6D6868" w:themeColor="accent2"/>
          <w:left w:val="nil"/>
          <w:bottom w:val="single" w:sz="8" w:space="0" w:color="6D6868" w:themeColor="accent2"/>
          <w:right w:val="nil"/>
          <w:insideH w:val="nil"/>
          <w:insideV w:val="nil"/>
          <w:tl2br w:val="nil"/>
          <w:tr2bl w:val="nil"/>
        </w:tcBorders>
        <w:shd w:val="clear" w:color="auto" w:fill="FFFFFF" w:themeFill="background1"/>
      </w:tcPr>
    </w:tblStylePr>
    <w:tblStylePr w:type="firstCol">
      <w:rPr>
        <w:b/>
        <w:color w:val="6D6868" w:themeColor="accent2"/>
      </w:rPr>
    </w:tblStylePr>
    <w:tblStylePr w:type="band2Horz">
      <w:tblPr/>
      <w:tcPr>
        <w:shd w:val="clear" w:color="auto" w:fill="FFFFFF" w:themeFill="background1"/>
      </w:tcPr>
    </w:tblStylePr>
  </w:style>
  <w:style w:type="table" w:styleId="TableGridLight">
    <w:name w:val="Grid Table Light"/>
    <w:basedOn w:val="TableNormal"/>
    <w:uiPriority w:val="40"/>
    <w:rsid w:val="006651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Bullet4">
    <w:name w:val="List Bullet 4"/>
    <w:basedOn w:val="Normal"/>
    <w:uiPriority w:val="99"/>
    <w:unhideWhenUsed/>
    <w:qFormat/>
    <w:rsid w:val="00E205AD"/>
    <w:pPr>
      <w:numPr>
        <w:ilvl w:val="3"/>
        <w:numId w:val="6"/>
      </w:numPr>
    </w:pPr>
  </w:style>
  <w:style w:type="numbering" w:customStyle="1" w:styleId="TableNumbersBullets">
    <w:name w:val="Table Numbers &amp; Bullets"/>
    <w:uiPriority w:val="99"/>
    <w:rsid w:val="00EF0F33"/>
    <w:pPr>
      <w:numPr>
        <w:numId w:val="5"/>
      </w:numPr>
    </w:pPr>
  </w:style>
  <w:style w:type="paragraph" w:customStyle="1" w:styleId="TableText">
    <w:name w:val="Table Text"/>
    <w:aliases w:val="Para 0,Auto,After:  3 pt,tt,fmstabletext,fmstabletext + Courier New,8 pt,Top: (Single solid line,... +...,fmstabletext Char Char Char Char Char Char,Normal +Centre:  3 pt,Line spacing:  1.5 lines,REPORT Para 0,tx"/>
    <w:basedOn w:val="Normal"/>
    <w:link w:val="TableTextChar"/>
    <w:uiPriority w:val="4"/>
    <w:qFormat/>
    <w:rsid w:val="00EF0F33"/>
    <w:pPr>
      <w:spacing w:after="40"/>
    </w:pPr>
    <w:rPr>
      <w:sz w:val="16"/>
      <w:szCs w:val="16"/>
    </w:rPr>
  </w:style>
  <w:style w:type="paragraph" w:customStyle="1" w:styleId="TableBullet">
    <w:name w:val="Table Bullet"/>
    <w:basedOn w:val="TableText"/>
    <w:link w:val="TableBulletChar"/>
    <w:qFormat/>
    <w:rsid w:val="000352FF"/>
    <w:pPr>
      <w:numPr>
        <w:ilvl w:val="1"/>
        <w:numId w:val="21"/>
      </w:numPr>
    </w:pPr>
    <w:rPr>
      <w:kern w:val="2"/>
      <w14:ligatures w14:val="standardContextual"/>
    </w:rPr>
  </w:style>
  <w:style w:type="character" w:customStyle="1" w:styleId="TableTextChar">
    <w:name w:val="Table Text Char"/>
    <w:basedOn w:val="DefaultParagraphFont"/>
    <w:link w:val="TableText"/>
    <w:uiPriority w:val="4"/>
    <w:rsid w:val="007074FE"/>
    <w:rPr>
      <w:kern w:val="2"/>
      <w:sz w:val="16"/>
      <w:szCs w:val="16"/>
      <w14:ligatures w14:val="standardContextual"/>
    </w:rPr>
  </w:style>
  <w:style w:type="paragraph" w:customStyle="1" w:styleId="TableBullet2">
    <w:name w:val="Table Bullet 2"/>
    <w:basedOn w:val="TableText"/>
    <w:link w:val="TableBullet2Char"/>
    <w:uiPriority w:val="7"/>
    <w:qFormat/>
    <w:rsid w:val="000352FF"/>
    <w:pPr>
      <w:numPr>
        <w:ilvl w:val="2"/>
        <w:numId w:val="21"/>
      </w:numPr>
    </w:pPr>
    <w:rPr>
      <w:kern w:val="2"/>
      <w14:ligatures w14:val="standardContextual"/>
    </w:rPr>
  </w:style>
  <w:style w:type="character" w:customStyle="1" w:styleId="TableBulletChar">
    <w:name w:val="Table Bullet Char"/>
    <w:basedOn w:val="TableTextChar"/>
    <w:link w:val="TableBullet"/>
    <w:rsid w:val="000352FF"/>
    <w:rPr>
      <w:kern w:val="2"/>
      <w:sz w:val="16"/>
      <w:szCs w:val="16"/>
      <w14:ligatures w14:val="standardContextual"/>
    </w:rPr>
  </w:style>
  <w:style w:type="paragraph" w:customStyle="1" w:styleId="TableNumbers">
    <w:name w:val="Table Numbers"/>
    <w:basedOn w:val="TableText"/>
    <w:link w:val="TableNumbersChar"/>
    <w:uiPriority w:val="7"/>
    <w:qFormat/>
    <w:rsid w:val="00EF0F33"/>
    <w:pPr>
      <w:numPr>
        <w:numId w:val="21"/>
      </w:numPr>
    </w:pPr>
  </w:style>
  <w:style w:type="character" w:customStyle="1" w:styleId="TableBullet2Char">
    <w:name w:val="Table Bullet 2 Char"/>
    <w:basedOn w:val="TableTextChar"/>
    <w:link w:val="TableBullet2"/>
    <w:uiPriority w:val="7"/>
    <w:rsid w:val="000352FF"/>
    <w:rPr>
      <w:kern w:val="2"/>
      <w:sz w:val="16"/>
      <w:szCs w:val="16"/>
      <w14:ligatures w14:val="standardContextual"/>
    </w:rPr>
  </w:style>
  <w:style w:type="character" w:customStyle="1" w:styleId="Heading6Char">
    <w:name w:val="Heading 6 Char"/>
    <w:basedOn w:val="DefaultParagraphFont"/>
    <w:link w:val="Heading6"/>
    <w:uiPriority w:val="9"/>
    <w:rsid w:val="005E29B4"/>
    <w:rPr>
      <w:rFonts w:asciiTheme="majorHAnsi" w:eastAsiaTheme="majorEastAsia" w:hAnsiTheme="majorHAnsi" w:cstheme="majorBidi"/>
      <w:b/>
      <w:color w:val="6D6868" w:themeColor="accent2"/>
      <w:kern w:val="2"/>
      <w:sz w:val="18"/>
      <w:szCs w:val="18"/>
      <w14:ligatures w14:val="standardContextual"/>
    </w:rPr>
  </w:style>
  <w:style w:type="character" w:customStyle="1" w:styleId="TableNumbersChar">
    <w:name w:val="Table Numbers Char"/>
    <w:basedOn w:val="TableTextChar"/>
    <w:link w:val="TableNumbers"/>
    <w:uiPriority w:val="7"/>
    <w:rsid w:val="007074FE"/>
    <w:rPr>
      <w:kern w:val="2"/>
      <w:sz w:val="16"/>
      <w:szCs w:val="16"/>
      <w14:ligatures w14:val="standardContextual"/>
    </w:rPr>
  </w:style>
  <w:style w:type="paragraph" w:customStyle="1" w:styleId="FooterLeft">
    <w:name w:val="Footer Left"/>
    <w:basedOn w:val="Footer"/>
    <w:rsid w:val="00C36C85"/>
    <w:pPr>
      <w:framePr w:w="4536" w:h="709" w:hRule="exact" w:wrap="around" w:vAnchor="page" w:hAnchor="margin" w:yAlign="bottom" w:anchorLock="1"/>
      <w:shd w:val="clear" w:color="auto" w:fill="FFFFFF" w:themeFill="background1"/>
    </w:pPr>
  </w:style>
  <w:style w:type="paragraph" w:customStyle="1" w:styleId="Footerright">
    <w:name w:val="Footer right"/>
    <w:basedOn w:val="FooterLeft"/>
    <w:rsid w:val="00C36C85"/>
    <w:pPr>
      <w:framePr w:wrap="around" w:xAlign="right"/>
      <w:jc w:val="right"/>
    </w:pPr>
    <w:rPr>
      <w:color w:val="6D6868" w:themeColor="accent2"/>
    </w:rPr>
  </w:style>
  <w:style w:type="table" w:customStyle="1" w:styleId="FooterTable">
    <w:name w:val="Footer Table"/>
    <w:basedOn w:val="TableNormal"/>
    <w:uiPriority w:val="99"/>
    <w:rsid w:val="0028752A"/>
    <w:pPr>
      <w:spacing w:after="0" w:line="240" w:lineRule="auto"/>
      <w:jc w:val="right"/>
    </w:pPr>
    <w:tblPr>
      <w:tblCellMar>
        <w:left w:w="0" w:type="dxa"/>
        <w:right w:w="0" w:type="dxa"/>
      </w:tblCellMar>
    </w:tblPr>
    <w:tcPr>
      <w:vAlign w:val="bottom"/>
    </w:tcPr>
    <w:tblStylePr w:type="firstCol">
      <w:pPr>
        <w:jc w:val="left"/>
      </w:pPr>
    </w:tblStylePr>
  </w:style>
  <w:style w:type="paragraph" w:customStyle="1" w:styleId="Introduction">
    <w:name w:val="Introduction"/>
    <w:basedOn w:val="Normal"/>
    <w:next w:val="Normal"/>
    <w:link w:val="IntroductionChar"/>
    <w:uiPriority w:val="2"/>
    <w:qFormat/>
    <w:rsid w:val="0073688B"/>
    <w:pPr>
      <w:spacing w:after="360"/>
    </w:pPr>
    <w:rPr>
      <w:color w:val="2C4BA0" w:themeColor="accent1"/>
      <w:sz w:val="24"/>
      <w:szCs w:val="24"/>
    </w:rPr>
  </w:style>
  <w:style w:type="character" w:customStyle="1" w:styleId="FooterChapterTitle">
    <w:name w:val="Footer Chapter Title"/>
    <w:basedOn w:val="DefaultParagraphFont"/>
    <w:uiPriority w:val="1"/>
    <w:rsid w:val="00E8048F"/>
  </w:style>
  <w:style w:type="character" w:customStyle="1" w:styleId="IntroductionChar">
    <w:name w:val="Introduction Char"/>
    <w:basedOn w:val="DefaultParagraphFont"/>
    <w:link w:val="Introduction"/>
    <w:uiPriority w:val="2"/>
    <w:rsid w:val="007E5011"/>
    <w:rPr>
      <w:color w:val="2C4BA0" w:themeColor="accent1"/>
      <w:kern w:val="2"/>
      <w:sz w:val="24"/>
      <w:szCs w:val="24"/>
      <w14:ligatures w14:val="standardContextual"/>
    </w:rPr>
  </w:style>
  <w:style w:type="character" w:customStyle="1" w:styleId="Footer-DateVersion">
    <w:name w:val="Footer - Date &amp; Version"/>
    <w:basedOn w:val="DefaultParagraphFont"/>
    <w:uiPriority w:val="1"/>
    <w:rsid w:val="00FF265E"/>
  </w:style>
  <w:style w:type="paragraph" w:customStyle="1" w:styleId="CaptionImages">
    <w:name w:val="Caption Images"/>
    <w:basedOn w:val="Caption"/>
    <w:next w:val="Normal"/>
    <w:link w:val="CaptionImagesChar"/>
    <w:rsid w:val="005E29B4"/>
  </w:style>
  <w:style w:type="character" w:customStyle="1" w:styleId="CaptionChar">
    <w:name w:val="Caption Char"/>
    <w:aliases w:val="TABLE Char,Caption Char Char Char Char Char,Caption1 Char Char Char,Caption Char Char Char,Caption Char Char Char Char Char Char Char Char,Caption Char1 Char,Caption Char Char Char Char1 Char,Caption1 Char Char1 Char,Table Caption Char"/>
    <w:basedOn w:val="DefaultParagraphFont"/>
    <w:link w:val="Caption"/>
    <w:uiPriority w:val="35"/>
    <w:rsid w:val="005C0C2B"/>
    <w:rPr>
      <w:sz w:val="16"/>
    </w:rPr>
  </w:style>
  <w:style w:type="character" w:customStyle="1" w:styleId="CaptionImagesChar">
    <w:name w:val="Caption Images Char"/>
    <w:basedOn w:val="CaptionChar"/>
    <w:link w:val="CaptionImages"/>
    <w:rsid w:val="0034213F"/>
    <w:rPr>
      <w:kern w:val="2"/>
      <w:sz w:val="16"/>
      <w14:ligatures w14:val="standardContextual"/>
    </w:rPr>
  </w:style>
  <w:style w:type="paragraph" w:customStyle="1" w:styleId="CaptionTables">
    <w:name w:val="Caption Tables"/>
    <w:basedOn w:val="Caption"/>
    <w:next w:val="Normal"/>
    <w:link w:val="CaptionTablesChar"/>
    <w:rsid w:val="008A6FBC"/>
    <w:pPr>
      <w:spacing w:after="180"/>
    </w:pPr>
  </w:style>
  <w:style w:type="paragraph" w:customStyle="1" w:styleId="TableHeading">
    <w:name w:val="Table Heading"/>
    <w:basedOn w:val="TableText"/>
    <w:link w:val="TableHeadingChar"/>
    <w:uiPriority w:val="6"/>
    <w:qFormat/>
    <w:rsid w:val="00C06BBC"/>
    <w:pPr>
      <w:spacing w:line="240" w:lineRule="auto"/>
    </w:pPr>
    <w:rPr>
      <w:b/>
      <w:caps/>
      <w:color w:val="FFFFFF" w:themeColor="background1"/>
    </w:rPr>
  </w:style>
  <w:style w:type="character" w:customStyle="1" w:styleId="CaptionTablesChar">
    <w:name w:val="Caption Tables Char"/>
    <w:basedOn w:val="CaptionChar"/>
    <w:link w:val="CaptionTables"/>
    <w:rsid w:val="008A6FBC"/>
    <w:rPr>
      <w:kern w:val="2"/>
      <w:sz w:val="16"/>
      <w14:ligatures w14:val="standardContextual"/>
    </w:rPr>
  </w:style>
  <w:style w:type="character" w:customStyle="1" w:styleId="TableHeadingChar">
    <w:name w:val="Table Heading Char"/>
    <w:basedOn w:val="TableTextChar"/>
    <w:link w:val="TableHeading"/>
    <w:uiPriority w:val="6"/>
    <w:rsid w:val="007E5011"/>
    <w:rPr>
      <w:b/>
      <w:caps/>
      <w:color w:val="FFFFFF" w:themeColor="background1"/>
      <w:kern w:val="2"/>
      <w:sz w:val="16"/>
      <w:szCs w:val="16"/>
      <w14:ligatures w14:val="standardContextual"/>
    </w:rPr>
  </w:style>
  <w:style w:type="paragraph" w:customStyle="1" w:styleId="AppendixHeading">
    <w:name w:val="Appendix Heading"/>
    <w:basedOn w:val="Normal"/>
    <w:link w:val="AppendixHeadingChar"/>
    <w:rsid w:val="000E21B9"/>
    <w:pPr>
      <w:framePr w:w="5670" w:wrap="notBeside" w:vAnchor="page" w:hAnchor="page" w:x="1419" w:y="937" w:anchorLock="1"/>
      <w:tabs>
        <w:tab w:val="left" w:pos="5387"/>
      </w:tabs>
      <w:spacing w:line="324" w:lineRule="auto"/>
      <w:ind w:right="113"/>
      <w:outlineLvl w:val="0"/>
    </w:pPr>
    <w:rPr>
      <w:b/>
      <w:bCs/>
      <w:color w:val="FFFFFF" w:themeColor="background1"/>
      <w:sz w:val="32"/>
      <w:szCs w:val="32"/>
    </w:rPr>
  </w:style>
  <w:style w:type="numbering" w:customStyle="1" w:styleId="AppendixHeadings">
    <w:name w:val="Appendix Headings"/>
    <w:uiPriority w:val="99"/>
    <w:rsid w:val="00F8069F"/>
    <w:pPr>
      <w:numPr>
        <w:numId w:val="8"/>
      </w:numPr>
    </w:pPr>
  </w:style>
  <w:style w:type="character" w:customStyle="1" w:styleId="AppendixHeadingChar">
    <w:name w:val="Appendix Heading Char"/>
    <w:basedOn w:val="DefaultParagraphFont"/>
    <w:link w:val="AppendixHeading"/>
    <w:rsid w:val="000E21B9"/>
    <w:rPr>
      <w:b/>
      <w:bCs/>
      <w:color w:val="FFFFFF" w:themeColor="background1"/>
      <w:kern w:val="2"/>
      <w:sz w:val="32"/>
      <w:szCs w:val="32"/>
      <w14:ligatures w14:val="standardContextual"/>
    </w:rPr>
  </w:style>
  <w:style w:type="paragraph" w:styleId="TOC1">
    <w:name w:val="toc 1"/>
    <w:basedOn w:val="Normal"/>
    <w:next w:val="Normal"/>
    <w:autoRedefine/>
    <w:uiPriority w:val="39"/>
    <w:unhideWhenUsed/>
    <w:rsid w:val="00AB17B4"/>
    <w:pPr>
      <w:pBdr>
        <w:bottom w:val="single" w:sz="8" w:space="1" w:color="FFFFFF" w:themeColor="background1"/>
        <w:between w:val="single" w:sz="8" w:space="1" w:color="FFFFFF" w:themeColor="background1"/>
      </w:pBdr>
      <w:tabs>
        <w:tab w:val="left" w:pos="567"/>
        <w:tab w:val="right" w:pos="9072"/>
      </w:tabs>
      <w:spacing w:before="120" w:after="40" w:line="300" w:lineRule="auto"/>
    </w:pPr>
    <w:rPr>
      <w:b/>
      <w:color w:val="FFFFFF" w:themeColor="background1"/>
    </w:rPr>
  </w:style>
  <w:style w:type="paragraph" w:customStyle="1" w:styleId="Call-outboxHeading">
    <w:name w:val="Call-out box Heading"/>
    <w:basedOn w:val="Normal"/>
    <w:qFormat/>
    <w:rsid w:val="006901EA"/>
    <w:pPr>
      <w:framePr w:w="3402" w:wrap="around" w:vAnchor="text" w:hAnchor="text" w:y="1"/>
      <w:pBdr>
        <w:top w:val="single" w:sz="4" w:space="4" w:color="F1F2F2" w:themeColor="accent3"/>
        <w:left w:val="single" w:sz="4" w:space="4" w:color="F1F2F2" w:themeColor="accent3"/>
        <w:bottom w:val="single" w:sz="4" w:space="4" w:color="F1F2F2" w:themeColor="accent3"/>
        <w:right w:val="single" w:sz="4" w:space="4" w:color="F1F2F2" w:themeColor="accent3"/>
      </w:pBdr>
      <w:shd w:val="clear" w:color="auto" w:fill="F1F2F2" w:themeFill="accent3"/>
      <w:spacing w:after="80"/>
      <w:ind w:left="113" w:right="113"/>
    </w:pPr>
    <w:rPr>
      <w:b/>
      <w:color w:val="2C4BA0" w:themeColor="accent1"/>
      <w:kern w:val="2"/>
      <w14:ligatures w14:val="standardContextual"/>
    </w:rPr>
  </w:style>
  <w:style w:type="character" w:styleId="CommentReference">
    <w:name w:val="annotation reference"/>
    <w:basedOn w:val="DefaultParagraphFont"/>
    <w:uiPriority w:val="99"/>
    <w:unhideWhenUsed/>
    <w:rsid w:val="00A14C55"/>
    <w:rPr>
      <w:sz w:val="16"/>
      <w:szCs w:val="16"/>
    </w:rPr>
  </w:style>
  <w:style w:type="paragraph" w:styleId="CommentText">
    <w:name w:val="annotation text"/>
    <w:basedOn w:val="Normal"/>
    <w:link w:val="CommentTextChar"/>
    <w:uiPriority w:val="99"/>
    <w:unhideWhenUsed/>
    <w:rsid w:val="00A14C55"/>
    <w:pPr>
      <w:spacing w:line="240" w:lineRule="auto"/>
    </w:pPr>
    <w:rPr>
      <w:sz w:val="20"/>
      <w:szCs w:val="20"/>
    </w:rPr>
  </w:style>
  <w:style w:type="character" w:customStyle="1" w:styleId="CommentTextChar">
    <w:name w:val="Comment Text Char"/>
    <w:basedOn w:val="DefaultParagraphFont"/>
    <w:link w:val="CommentText"/>
    <w:uiPriority w:val="99"/>
    <w:rsid w:val="00A14C55"/>
    <w:rPr>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A14C55"/>
    <w:rPr>
      <w:b/>
      <w:bCs/>
    </w:rPr>
  </w:style>
  <w:style w:type="character" w:customStyle="1" w:styleId="CommentSubjectChar">
    <w:name w:val="Comment Subject Char"/>
    <w:basedOn w:val="CommentTextChar"/>
    <w:link w:val="CommentSubject"/>
    <w:uiPriority w:val="99"/>
    <w:semiHidden/>
    <w:rsid w:val="00A14C55"/>
    <w:rPr>
      <w:b/>
      <w:bCs/>
      <w:kern w:val="2"/>
      <w:sz w:val="20"/>
      <w:szCs w:val="20"/>
      <w14:ligatures w14:val="standardContextual"/>
    </w:rPr>
  </w:style>
  <w:style w:type="character" w:styleId="UnresolvedMention">
    <w:name w:val="Unresolved Mention"/>
    <w:basedOn w:val="DefaultParagraphFont"/>
    <w:uiPriority w:val="99"/>
    <w:semiHidden/>
    <w:unhideWhenUsed/>
    <w:rsid w:val="00C51E40"/>
    <w:rPr>
      <w:color w:val="605E5C"/>
      <w:shd w:val="clear" w:color="auto" w:fill="E1DFDD"/>
    </w:rPr>
  </w:style>
  <w:style w:type="character" w:customStyle="1" w:styleId="Heading7Char">
    <w:name w:val="Heading 7 Char"/>
    <w:basedOn w:val="DefaultParagraphFont"/>
    <w:link w:val="Heading7"/>
    <w:uiPriority w:val="9"/>
    <w:semiHidden/>
    <w:rsid w:val="00133B8B"/>
    <w:rPr>
      <w:rFonts w:asciiTheme="majorHAnsi" w:eastAsiaTheme="majorEastAsia" w:hAnsiTheme="majorHAnsi" w:cstheme="majorBidi"/>
      <w:i/>
      <w:iCs/>
      <w:color w:val="16254F" w:themeColor="accent1" w:themeShade="7F"/>
      <w:sz w:val="18"/>
    </w:rPr>
  </w:style>
  <w:style w:type="character" w:customStyle="1" w:styleId="Heading8Char">
    <w:name w:val="Heading 8 Char"/>
    <w:basedOn w:val="DefaultParagraphFont"/>
    <w:link w:val="Heading8"/>
    <w:uiPriority w:val="9"/>
    <w:semiHidden/>
    <w:rsid w:val="00133B8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33B8B"/>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215375"/>
    <w:pPr>
      <w:spacing w:after="0" w:line="240" w:lineRule="auto"/>
    </w:pPr>
    <w:rPr>
      <w:sz w:val="18"/>
    </w:rPr>
  </w:style>
  <w:style w:type="character" w:customStyle="1" w:styleId="ui-provider">
    <w:name w:val="ui-provider"/>
    <w:basedOn w:val="DefaultParagraphFont"/>
    <w:rsid w:val="00511098"/>
  </w:style>
  <w:style w:type="paragraph" w:customStyle="1" w:styleId="ContentBulletsNumber">
    <w:name w:val="Content Bullets Number"/>
    <w:basedOn w:val="TableText"/>
    <w:semiHidden/>
    <w:qFormat/>
    <w:rsid w:val="00440412"/>
    <w:pPr>
      <w:numPr>
        <w:numId w:val="11"/>
      </w:numPr>
      <w:spacing w:before="240" w:after="120" w:line="240" w:lineRule="atLeast"/>
    </w:pPr>
    <w:rPr>
      <w:rFonts w:ascii="Jacobs Chronos" w:eastAsiaTheme="minorEastAsia" w:hAnsi="Jacobs Chronos" w:cs="Jacobs Chronos"/>
      <w:sz w:val="20"/>
      <w:szCs w:val="24"/>
    </w:rPr>
  </w:style>
  <w:style w:type="paragraph" w:customStyle="1" w:styleId="Tablesmalltext">
    <w:name w:val="Table small text"/>
    <w:basedOn w:val="Normal"/>
    <w:link w:val="TablesmalltextChar"/>
    <w:uiPriority w:val="15"/>
    <w:qFormat/>
    <w:rsid w:val="00F04F4A"/>
    <w:pPr>
      <w:spacing w:before="40" w:after="40" w:line="240" w:lineRule="atLeast"/>
    </w:pPr>
    <w:rPr>
      <w:rFonts w:eastAsiaTheme="minorEastAsia" w:cs="Jacobs Chronos"/>
      <w:sz w:val="16"/>
      <w:szCs w:val="24"/>
    </w:rPr>
  </w:style>
  <w:style w:type="paragraph" w:customStyle="1" w:styleId="Tablesmallheading">
    <w:name w:val="Table small heading"/>
    <w:basedOn w:val="TableHeading"/>
    <w:uiPriority w:val="15"/>
    <w:qFormat/>
    <w:rsid w:val="00440412"/>
    <w:pPr>
      <w:keepNext/>
      <w:spacing w:before="60" w:after="60" w:line="240" w:lineRule="atLeast"/>
    </w:pPr>
    <w:rPr>
      <w:rFonts w:ascii="Jacobs Chronos" w:eastAsiaTheme="minorEastAsia" w:hAnsi="Jacobs Chronos" w:cs="Jacobs Chronos"/>
      <w:caps w:val="0"/>
      <w:color w:val="auto"/>
      <w:sz w:val="20"/>
      <w:szCs w:val="24"/>
    </w:rPr>
  </w:style>
  <w:style w:type="table" w:customStyle="1" w:styleId="Table1">
    <w:name w:val="Table1"/>
    <w:basedOn w:val="TableNormal"/>
    <w:uiPriority w:val="99"/>
    <w:rsid w:val="00440412"/>
    <w:pPr>
      <w:spacing w:after="0" w:line="240" w:lineRule="auto"/>
    </w:pPr>
    <w:rPr>
      <w:rFonts w:eastAsiaTheme="minorEastAsia"/>
      <w:sz w:val="24"/>
      <w:szCs w:val="24"/>
      <w:lang w:val="en-US"/>
    </w:rPr>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Bahnschrift SemiLight" w:hAnsi="Bahnschrift SemiLight"/>
        <w:b/>
        <w:color w:val="000000"/>
        <w:sz w:val="50"/>
      </w:rPr>
      <w:tblPr/>
      <w:tcPr>
        <w:shd w:val="clear" w:color="auto" w:fill="CFCAC7"/>
      </w:tcPr>
    </w:tblStylePr>
    <w:tblStylePr w:type="firstCol">
      <w:tblPr/>
      <w:tcPr>
        <w:shd w:val="clear" w:color="auto" w:fill="E6E5E3"/>
      </w:tcPr>
    </w:tblStylePr>
  </w:style>
  <w:style w:type="character" w:customStyle="1" w:styleId="TablesmalltextChar">
    <w:name w:val="Table small text Char"/>
    <w:link w:val="Tablesmalltext"/>
    <w:uiPriority w:val="15"/>
    <w:rsid w:val="00F04F4A"/>
    <w:rPr>
      <w:rFonts w:eastAsiaTheme="minorEastAsia" w:cs="Jacobs Chronos"/>
      <w:sz w:val="16"/>
      <w:szCs w:val="24"/>
    </w:rPr>
  </w:style>
  <w:style w:type="paragraph" w:customStyle="1" w:styleId="Para0bullet">
    <w:name w:val="Para 0 bullet"/>
    <w:basedOn w:val="TableText"/>
    <w:link w:val="Para0bulletChar"/>
    <w:uiPriority w:val="99"/>
    <w:qFormat/>
    <w:rsid w:val="00FF72FB"/>
    <w:pPr>
      <w:numPr>
        <w:numId w:val="12"/>
      </w:numPr>
      <w:tabs>
        <w:tab w:val="left" w:pos="851"/>
      </w:tabs>
      <w:spacing w:after="120" w:line="240" w:lineRule="atLeast"/>
    </w:pPr>
    <w:rPr>
      <w:rFonts w:ascii="Jacobs Chronos" w:eastAsiaTheme="minorEastAsia" w:hAnsi="Jacobs Chronos" w:cs="Jacobs Chronos"/>
      <w:sz w:val="20"/>
      <w:szCs w:val="24"/>
    </w:rPr>
  </w:style>
  <w:style w:type="paragraph" w:customStyle="1" w:styleId="Para1narrowarrow">
    <w:name w:val="Para 1 narrow arrow"/>
    <w:basedOn w:val="Normal"/>
    <w:uiPriority w:val="5"/>
    <w:unhideWhenUsed/>
    <w:qFormat/>
    <w:rsid w:val="00FF72FB"/>
    <w:pPr>
      <w:numPr>
        <w:ilvl w:val="1"/>
        <w:numId w:val="12"/>
      </w:numPr>
      <w:tabs>
        <w:tab w:val="left" w:pos="851"/>
      </w:tabs>
      <w:spacing w:after="120" w:line="240" w:lineRule="atLeast"/>
    </w:pPr>
    <w:rPr>
      <w:rFonts w:ascii="Jacobs Chronos" w:eastAsiaTheme="minorEastAsia" w:hAnsi="Jacobs Chronos" w:cs="Jacobs Chronos"/>
      <w:sz w:val="20"/>
      <w:szCs w:val="24"/>
    </w:rPr>
  </w:style>
  <w:style w:type="numbering" w:customStyle="1" w:styleId="JacobsBulletList1">
    <w:name w:val="Jacobs Bullet List 1"/>
    <w:uiPriority w:val="99"/>
    <w:rsid w:val="00FF72FB"/>
    <w:pPr>
      <w:numPr>
        <w:numId w:val="12"/>
      </w:numPr>
    </w:pPr>
  </w:style>
  <w:style w:type="character" w:customStyle="1" w:styleId="Para0Char">
    <w:name w:val="Para 0 Char"/>
    <w:aliases w:val="Auto Char,After:  3 pt Char Char,REPORT Para 0 Char,After:  3 pt Char,Normal +Centre:  3 pt Char,Line spacing:  1.5 lines Char"/>
    <w:basedOn w:val="DefaultParagraphFont"/>
    <w:uiPriority w:val="4"/>
    <w:qFormat/>
    <w:rsid w:val="00FF72FB"/>
    <w:rPr>
      <w:rFonts w:ascii="Jacobs Chronos" w:hAnsi="Jacobs Chronos" w:cs="Jacobs Chronos"/>
      <w:sz w:val="20"/>
      <w:lang w:val="en-GB"/>
    </w:rPr>
  </w:style>
  <w:style w:type="character" w:customStyle="1" w:styleId="Para0bulletChar">
    <w:name w:val="Para 0 bullet Char"/>
    <w:basedOn w:val="DefaultParagraphFont"/>
    <w:link w:val="Para0bullet"/>
    <w:uiPriority w:val="99"/>
    <w:locked/>
    <w:rsid w:val="00FF72FB"/>
    <w:rPr>
      <w:rFonts w:ascii="Jacobs Chronos" w:eastAsiaTheme="minorEastAsia" w:hAnsi="Jacobs Chronos" w:cs="Jacobs Chronos"/>
      <w:sz w:val="20"/>
      <w:szCs w:val="24"/>
    </w:rPr>
  </w:style>
  <w:style w:type="paragraph" w:styleId="NormalWeb">
    <w:name w:val="Normal (Web)"/>
    <w:basedOn w:val="Normal"/>
    <w:uiPriority w:val="99"/>
    <w:unhideWhenUsed/>
    <w:rsid w:val="002245E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heading0">
    <w:name w:val="Table heading"/>
    <w:basedOn w:val="Normal"/>
    <w:link w:val="TableheadingChar0"/>
    <w:uiPriority w:val="14"/>
    <w:qFormat/>
    <w:rsid w:val="001961B4"/>
    <w:pPr>
      <w:keepNext/>
      <w:spacing w:before="100" w:after="100" w:line="240" w:lineRule="atLeast"/>
    </w:pPr>
    <w:rPr>
      <w:rFonts w:ascii="Jacobs Chronos" w:eastAsiaTheme="minorEastAsia" w:hAnsi="Jacobs Chronos" w:cs="Jacobs Chronos"/>
      <w:b/>
      <w:sz w:val="20"/>
      <w:szCs w:val="24"/>
    </w:rPr>
  </w:style>
  <w:style w:type="character" w:customStyle="1" w:styleId="TableheadingChar0">
    <w:name w:val="Table heading Char"/>
    <w:basedOn w:val="DefaultParagraphFont"/>
    <w:link w:val="Tableheading0"/>
    <w:uiPriority w:val="14"/>
    <w:rsid w:val="001961B4"/>
    <w:rPr>
      <w:rFonts w:ascii="Jacobs Chronos" w:eastAsiaTheme="minorEastAsia" w:hAnsi="Jacobs Chronos" w:cs="Jacobs Chronos"/>
      <w:b/>
      <w:kern w:val="2"/>
      <w:sz w:val="20"/>
      <w:szCs w:val="24"/>
      <w14:ligatures w14:val="standardContextual"/>
    </w:rPr>
  </w:style>
  <w:style w:type="character" w:customStyle="1" w:styleId="font621">
    <w:name w:val="font621"/>
    <w:basedOn w:val="DefaultParagraphFont"/>
    <w:rsid w:val="004E06AA"/>
    <w:rPr>
      <w:rFonts w:ascii="Calibri" w:hAnsi="Calibri" w:cs="Calibri" w:hint="default"/>
      <w:b w:val="0"/>
      <w:bCs w:val="0"/>
      <w:i/>
      <w:iCs/>
      <w:strike w:val="0"/>
      <w:dstrike w:val="0"/>
      <w:color w:val="000000"/>
      <w:u w:val="none"/>
      <w:effect w:val="none"/>
    </w:rPr>
  </w:style>
  <w:style w:type="paragraph" w:styleId="FootnoteText">
    <w:name w:val="footnote text"/>
    <w:basedOn w:val="Normal"/>
    <w:link w:val="FootnoteTextChar"/>
    <w:uiPriority w:val="99"/>
    <w:semiHidden/>
    <w:unhideWhenUsed/>
    <w:rsid w:val="000D0FD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D0FD0"/>
    <w:rPr>
      <w:sz w:val="20"/>
      <w:szCs w:val="20"/>
    </w:rPr>
  </w:style>
  <w:style w:type="character" w:styleId="FootnoteReference">
    <w:name w:val="footnote reference"/>
    <w:basedOn w:val="DefaultParagraphFont"/>
    <w:uiPriority w:val="99"/>
    <w:semiHidden/>
    <w:unhideWhenUsed/>
    <w:rsid w:val="000D0FD0"/>
    <w:rPr>
      <w:vertAlign w:val="superscript"/>
    </w:rPr>
  </w:style>
  <w:style w:type="paragraph" w:customStyle="1" w:styleId="FigureCaption">
    <w:name w:val="Figure Caption"/>
    <w:basedOn w:val="Caption"/>
    <w:next w:val="BodyText"/>
    <w:uiPriority w:val="99"/>
    <w:semiHidden/>
    <w:rsid w:val="006E08DA"/>
    <w:pPr>
      <w:tabs>
        <w:tab w:val="clear" w:pos="1134"/>
      </w:tabs>
      <w:spacing w:before="120" w:after="40" w:line="240" w:lineRule="auto"/>
    </w:pPr>
    <w:rPr>
      <w:rFonts w:eastAsiaTheme="minorEastAsia"/>
      <w:b/>
      <w:iCs/>
      <w:color w:val="000000" w:themeColor="text2"/>
      <w:sz w:val="20"/>
      <w:szCs w:val="18"/>
      <w:lang w:eastAsia="en-AU"/>
    </w:rPr>
  </w:style>
  <w:style w:type="paragraph" w:styleId="BodyText">
    <w:name w:val="Body Text"/>
    <w:basedOn w:val="Normal"/>
    <w:link w:val="BodyTextChar"/>
    <w:uiPriority w:val="99"/>
    <w:semiHidden/>
    <w:unhideWhenUsed/>
    <w:rsid w:val="006E08DA"/>
    <w:pPr>
      <w:spacing w:after="120"/>
    </w:pPr>
  </w:style>
  <w:style w:type="character" w:customStyle="1" w:styleId="BodyTextChar">
    <w:name w:val="Body Text Char"/>
    <w:basedOn w:val="DefaultParagraphFont"/>
    <w:link w:val="BodyText"/>
    <w:uiPriority w:val="99"/>
    <w:semiHidden/>
    <w:rsid w:val="006E08DA"/>
    <w:rPr>
      <w:sz w:val="18"/>
    </w:rPr>
  </w:style>
  <w:style w:type="paragraph" w:customStyle="1" w:styleId="Pull-outQuoteHeading">
    <w:name w:val="Pull-out Quote Heading"/>
    <w:basedOn w:val="Normal"/>
    <w:next w:val="Normal"/>
    <w:link w:val="Pull-outQuoteHeadingChar"/>
    <w:unhideWhenUsed/>
    <w:qFormat/>
    <w:rsid w:val="00DE072E"/>
    <w:pPr>
      <w:pBdr>
        <w:top w:val="single" w:sz="4" w:space="15" w:color="F0F0F0"/>
        <w:left w:val="single" w:sz="4" w:space="15" w:color="F0F0F0"/>
        <w:bottom w:val="single" w:sz="4" w:space="15" w:color="F0F0F0"/>
        <w:right w:val="single" w:sz="4" w:space="15" w:color="F0F0F0"/>
      </w:pBdr>
      <w:shd w:val="clear" w:color="auto" w:fill="F0F0F0"/>
      <w:spacing w:after="120" w:line="288" w:lineRule="auto"/>
      <w:ind w:left="635" w:hanging="68"/>
      <w:jc w:val="both"/>
    </w:pPr>
    <w:rPr>
      <w:rFonts w:asciiTheme="majorHAnsi" w:hAnsiTheme="majorHAnsi"/>
    </w:rPr>
  </w:style>
  <w:style w:type="character" w:customStyle="1" w:styleId="Pull-outQuoteHeadingChar">
    <w:name w:val="Pull-out Quote Heading Char"/>
    <w:basedOn w:val="DefaultParagraphFont"/>
    <w:link w:val="Pull-outQuoteHeading"/>
    <w:rsid w:val="00DE072E"/>
    <w:rPr>
      <w:rFonts w:asciiTheme="majorHAnsi" w:hAnsiTheme="majorHAnsi"/>
      <w:sz w:val="18"/>
      <w:shd w:val="clear" w:color="auto" w:fill="F0F0F0"/>
    </w:rPr>
  </w:style>
  <w:style w:type="character" w:customStyle="1" w:styleId="wacimagecontainer">
    <w:name w:val="wacimagecontainer"/>
    <w:basedOn w:val="DefaultParagraphFont"/>
    <w:rsid w:val="00A930BD"/>
  </w:style>
  <w:style w:type="paragraph" w:customStyle="1" w:styleId="Tabletext0">
    <w:name w:val="Table text"/>
    <w:basedOn w:val="BodyText"/>
    <w:link w:val="TabletextChar0"/>
    <w:uiPriority w:val="14"/>
    <w:qFormat/>
    <w:rsid w:val="004B1601"/>
    <w:pPr>
      <w:spacing w:before="60" w:after="60" w:line="240" w:lineRule="auto"/>
    </w:pPr>
    <w:rPr>
      <w:rFonts w:ascii="Arial" w:eastAsiaTheme="minorEastAsia" w:hAnsi="Arial"/>
      <w:color w:val="000000" w:themeColor="text1"/>
      <w:szCs w:val="24"/>
    </w:rPr>
  </w:style>
  <w:style w:type="character" w:customStyle="1" w:styleId="TabletextChar0">
    <w:name w:val="Table text Char"/>
    <w:basedOn w:val="BodyTextChar"/>
    <w:link w:val="Tabletext0"/>
    <w:uiPriority w:val="14"/>
    <w:rsid w:val="004B1601"/>
    <w:rPr>
      <w:rFonts w:ascii="Arial" w:eastAsiaTheme="minorEastAsia" w:hAnsi="Arial"/>
      <w:color w:val="000000" w:themeColor="text1"/>
      <w:sz w:val="18"/>
      <w:szCs w:val="24"/>
    </w:rPr>
  </w:style>
  <w:style w:type="character" w:styleId="Mention">
    <w:name w:val="Mention"/>
    <w:basedOn w:val="DefaultParagraphFont"/>
    <w:uiPriority w:val="99"/>
    <w:unhideWhenUsed/>
    <w:rsid w:val="00B86771"/>
    <w:rPr>
      <w:color w:val="2B579A"/>
      <w:shd w:val="clear" w:color="auto" w:fill="E1DFDD"/>
    </w:rPr>
  </w:style>
  <w:style w:type="paragraph" w:customStyle="1" w:styleId="Tablenumbers2">
    <w:name w:val="Table numbers 2"/>
    <w:basedOn w:val="List"/>
    <w:qFormat/>
    <w:rsid w:val="000352FF"/>
    <w:pPr>
      <w:numPr>
        <w:numId w:val="22"/>
      </w:numPr>
      <w:spacing w:before="60" w:after="60" w:line="240" w:lineRule="auto"/>
      <w:contextualSpacing w:val="0"/>
    </w:pPr>
    <w:rPr>
      <w:sz w:val="16"/>
    </w:rPr>
  </w:style>
  <w:style w:type="paragraph" w:customStyle="1" w:styleId="Tablenumbers3">
    <w:name w:val="Table numbers 3"/>
    <w:basedOn w:val="TableNumbers"/>
    <w:qFormat/>
    <w:rsid w:val="000352FF"/>
    <w:pPr>
      <w:numPr>
        <w:numId w:val="23"/>
      </w:numPr>
      <w:spacing w:before="40" w:after="6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97958">
      <w:bodyDiv w:val="1"/>
      <w:marLeft w:val="0"/>
      <w:marRight w:val="0"/>
      <w:marTop w:val="0"/>
      <w:marBottom w:val="0"/>
      <w:divBdr>
        <w:top w:val="none" w:sz="0" w:space="0" w:color="auto"/>
        <w:left w:val="none" w:sz="0" w:space="0" w:color="auto"/>
        <w:bottom w:val="none" w:sz="0" w:space="0" w:color="auto"/>
        <w:right w:val="none" w:sz="0" w:space="0" w:color="auto"/>
      </w:divBdr>
    </w:div>
    <w:div w:id="28771878">
      <w:bodyDiv w:val="1"/>
      <w:marLeft w:val="0"/>
      <w:marRight w:val="0"/>
      <w:marTop w:val="0"/>
      <w:marBottom w:val="0"/>
      <w:divBdr>
        <w:top w:val="none" w:sz="0" w:space="0" w:color="auto"/>
        <w:left w:val="none" w:sz="0" w:space="0" w:color="auto"/>
        <w:bottom w:val="none" w:sz="0" w:space="0" w:color="auto"/>
        <w:right w:val="none" w:sz="0" w:space="0" w:color="auto"/>
      </w:divBdr>
    </w:div>
    <w:div w:id="99692479">
      <w:bodyDiv w:val="1"/>
      <w:marLeft w:val="0"/>
      <w:marRight w:val="0"/>
      <w:marTop w:val="0"/>
      <w:marBottom w:val="0"/>
      <w:divBdr>
        <w:top w:val="none" w:sz="0" w:space="0" w:color="auto"/>
        <w:left w:val="none" w:sz="0" w:space="0" w:color="auto"/>
        <w:bottom w:val="none" w:sz="0" w:space="0" w:color="auto"/>
        <w:right w:val="none" w:sz="0" w:space="0" w:color="auto"/>
      </w:divBdr>
    </w:div>
    <w:div w:id="145363081">
      <w:bodyDiv w:val="1"/>
      <w:marLeft w:val="0"/>
      <w:marRight w:val="0"/>
      <w:marTop w:val="0"/>
      <w:marBottom w:val="0"/>
      <w:divBdr>
        <w:top w:val="none" w:sz="0" w:space="0" w:color="auto"/>
        <w:left w:val="none" w:sz="0" w:space="0" w:color="auto"/>
        <w:bottom w:val="none" w:sz="0" w:space="0" w:color="auto"/>
        <w:right w:val="none" w:sz="0" w:space="0" w:color="auto"/>
      </w:divBdr>
    </w:div>
    <w:div w:id="147747228">
      <w:bodyDiv w:val="1"/>
      <w:marLeft w:val="0"/>
      <w:marRight w:val="0"/>
      <w:marTop w:val="0"/>
      <w:marBottom w:val="0"/>
      <w:divBdr>
        <w:top w:val="none" w:sz="0" w:space="0" w:color="auto"/>
        <w:left w:val="none" w:sz="0" w:space="0" w:color="auto"/>
        <w:bottom w:val="none" w:sz="0" w:space="0" w:color="auto"/>
        <w:right w:val="none" w:sz="0" w:space="0" w:color="auto"/>
      </w:divBdr>
      <w:divsChild>
        <w:div w:id="845053591">
          <w:marLeft w:val="0"/>
          <w:marRight w:val="0"/>
          <w:marTop w:val="0"/>
          <w:marBottom w:val="0"/>
          <w:divBdr>
            <w:top w:val="none" w:sz="0" w:space="0" w:color="auto"/>
            <w:left w:val="none" w:sz="0" w:space="0" w:color="auto"/>
            <w:bottom w:val="none" w:sz="0" w:space="0" w:color="auto"/>
            <w:right w:val="none" w:sz="0" w:space="0" w:color="auto"/>
          </w:divBdr>
          <w:divsChild>
            <w:div w:id="476723565">
              <w:marLeft w:val="0"/>
              <w:marRight w:val="0"/>
              <w:marTop w:val="0"/>
              <w:marBottom w:val="0"/>
              <w:divBdr>
                <w:top w:val="none" w:sz="0" w:space="0" w:color="auto"/>
                <w:left w:val="none" w:sz="0" w:space="0" w:color="auto"/>
                <w:bottom w:val="none" w:sz="0" w:space="0" w:color="auto"/>
                <w:right w:val="none" w:sz="0" w:space="0" w:color="auto"/>
              </w:divBdr>
              <w:divsChild>
                <w:div w:id="133622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281766">
      <w:bodyDiv w:val="1"/>
      <w:marLeft w:val="0"/>
      <w:marRight w:val="0"/>
      <w:marTop w:val="0"/>
      <w:marBottom w:val="0"/>
      <w:divBdr>
        <w:top w:val="none" w:sz="0" w:space="0" w:color="auto"/>
        <w:left w:val="none" w:sz="0" w:space="0" w:color="auto"/>
        <w:bottom w:val="none" w:sz="0" w:space="0" w:color="auto"/>
        <w:right w:val="none" w:sz="0" w:space="0" w:color="auto"/>
      </w:divBdr>
    </w:div>
    <w:div w:id="274599785">
      <w:bodyDiv w:val="1"/>
      <w:marLeft w:val="0"/>
      <w:marRight w:val="0"/>
      <w:marTop w:val="0"/>
      <w:marBottom w:val="0"/>
      <w:divBdr>
        <w:top w:val="none" w:sz="0" w:space="0" w:color="auto"/>
        <w:left w:val="none" w:sz="0" w:space="0" w:color="auto"/>
        <w:bottom w:val="none" w:sz="0" w:space="0" w:color="auto"/>
        <w:right w:val="none" w:sz="0" w:space="0" w:color="auto"/>
      </w:divBdr>
    </w:div>
    <w:div w:id="310839519">
      <w:bodyDiv w:val="1"/>
      <w:marLeft w:val="0"/>
      <w:marRight w:val="0"/>
      <w:marTop w:val="0"/>
      <w:marBottom w:val="0"/>
      <w:divBdr>
        <w:top w:val="none" w:sz="0" w:space="0" w:color="auto"/>
        <w:left w:val="none" w:sz="0" w:space="0" w:color="auto"/>
        <w:bottom w:val="none" w:sz="0" w:space="0" w:color="auto"/>
        <w:right w:val="none" w:sz="0" w:space="0" w:color="auto"/>
      </w:divBdr>
    </w:div>
    <w:div w:id="311835145">
      <w:bodyDiv w:val="1"/>
      <w:marLeft w:val="0"/>
      <w:marRight w:val="0"/>
      <w:marTop w:val="0"/>
      <w:marBottom w:val="0"/>
      <w:divBdr>
        <w:top w:val="none" w:sz="0" w:space="0" w:color="auto"/>
        <w:left w:val="none" w:sz="0" w:space="0" w:color="auto"/>
        <w:bottom w:val="none" w:sz="0" w:space="0" w:color="auto"/>
        <w:right w:val="none" w:sz="0" w:space="0" w:color="auto"/>
      </w:divBdr>
    </w:div>
    <w:div w:id="312298380">
      <w:bodyDiv w:val="1"/>
      <w:marLeft w:val="0"/>
      <w:marRight w:val="0"/>
      <w:marTop w:val="0"/>
      <w:marBottom w:val="0"/>
      <w:divBdr>
        <w:top w:val="none" w:sz="0" w:space="0" w:color="auto"/>
        <w:left w:val="none" w:sz="0" w:space="0" w:color="auto"/>
        <w:bottom w:val="none" w:sz="0" w:space="0" w:color="auto"/>
        <w:right w:val="none" w:sz="0" w:space="0" w:color="auto"/>
      </w:divBdr>
      <w:divsChild>
        <w:div w:id="4986325">
          <w:marLeft w:val="0"/>
          <w:marRight w:val="0"/>
          <w:marTop w:val="0"/>
          <w:marBottom w:val="0"/>
          <w:divBdr>
            <w:top w:val="none" w:sz="0" w:space="0" w:color="auto"/>
            <w:left w:val="none" w:sz="0" w:space="0" w:color="auto"/>
            <w:bottom w:val="none" w:sz="0" w:space="0" w:color="auto"/>
            <w:right w:val="none" w:sz="0" w:space="0" w:color="auto"/>
          </w:divBdr>
          <w:divsChild>
            <w:div w:id="1570262575">
              <w:marLeft w:val="0"/>
              <w:marRight w:val="0"/>
              <w:marTop w:val="0"/>
              <w:marBottom w:val="0"/>
              <w:divBdr>
                <w:top w:val="none" w:sz="0" w:space="0" w:color="auto"/>
                <w:left w:val="none" w:sz="0" w:space="0" w:color="auto"/>
                <w:bottom w:val="none" w:sz="0" w:space="0" w:color="auto"/>
                <w:right w:val="none" w:sz="0" w:space="0" w:color="auto"/>
              </w:divBdr>
              <w:divsChild>
                <w:div w:id="145216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49025">
      <w:bodyDiv w:val="1"/>
      <w:marLeft w:val="0"/>
      <w:marRight w:val="0"/>
      <w:marTop w:val="0"/>
      <w:marBottom w:val="0"/>
      <w:divBdr>
        <w:top w:val="none" w:sz="0" w:space="0" w:color="auto"/>
        <w:left w:val="none" w:sz="0" w:space="0" w:color="auto"/>
        <w:bottom w:val="none" w:sz="0" w:space="0" w:color="auto"/>
        <w:right w:val="none" w:sz="0" w:space="0" w:color="auto"/>
      </w:divBdr>
    </w:div>
    <w:div w:id="400566413">
      <w:bodyDiv w:val="1"/>
      <w:marLeft w:val="0"/>
      <w:marRight w:val="0"/>
      <w:marTop w:val="0"/>
      <w:marBottom w:val="0"/>
      <w:divBdr>
        <w:top w:val="none" w:sz="0" w:space="0" w:color="auto"/>
        <w:left w:val="none" w:sz="0" w:space="0" w:color="auto"/>
        <w:bottom w:val="none" w:sz="0" w:space="0" w:color="auto"/>
        <w:right w:val="none" w:sz="0" w:space="0" w:color="auto"/>
      </w:divBdr>
    </w:div>
    <w:div w:id="406418838">
      <w:bodyDiv w:val="1"/>
      <w:marLeft w:val="0"/>
      <w:marRight w:val="0"/>
      <w:marTop w:val="0"/>
      <w:marBottom w:val="0"/>
      <w:divBdr>
        <w:top w:val="none" w:sz="0" w:space="0" w:color="auto"/>
        <w:left w:val="none" w:sz="0" w:space="0" w:color="auto"/>
        <w:bottom w:val="none" w:sz="0" w:space="0" w:color="auto"/>
        <w:right w:val="none" w:sz="0" w:space="0" w:color="auto"/>
      </w:divBdr>
      <w:divsChild>
        <w:div w:id="1190676792">
          <w:marLeft w:val="0"/>
          <w:marRight w:val="0"/>
          <w:marTop w:val="0"/>
          <w:marBottom w:val="0"/>
          <w:divBdr>
            <w:top w:val="none" w:sz="0" w:space="0" w:color="auto"/>
            <w:left w:val="none" w:sz="0" w:space="0" w:color="auto"/>
            <w:bottom w:val="none" w:sz="0" w:space="0" w:color="auto"/>
            <w:right w:val="none" w:sz="0" w:space="0" w:color="auto"/>
          </w:divBdr>
          <w:divsChild>
            <w:div w:id="958881003">
              <w:marLeft w:val="0"/>
              <w:marRight w:val="0"/>
              <w:marTop w:val="0"/>
              <w:marBottom w:val="0"/>
              <w:divBdr>
                <w:top w:val="none" w:sz="0" w:space="0" w:color="auto"/>
                <w:left w:val="none" w:sz="0" w:space="0" w:color="auto"/>
                <w:bottom w:val="none" w:sz="0" w:space="0" w:color="auto"/>
                <w:right w:val="none" w:sz="0" w:space="0" w:color="auto"/>
              </w:divBdr>
              <w:divsChild>
                <w:div w:id="44820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059042">
      <w:bodyDiv w:val="1"/>
      <w:marLeft w:val="0"/>
      <w:marRight w:val="0"/>
      <w:marTop w:val="0"/>
      <w:marBottom w:val="0"/>
      <w:divBdr>
        <w:top w:val="none" w:sz="0" w:space="0" w:color="auto"/>
        <w:left w:val="none" w:sz="0" w:space="0" w:color="auto"/>
        <w:bottom w:val="none" w:sz="0" w:space="0" w:color="auto"/>
        <w:right w:val="none" w:sz="0" w:space="0" w:color="auto"/>
      </w:divBdr>
    </w:div>
    <w:div w:id="539125199">
      <w:bodyDiv w:val="1"/>
      <w:marLeft w:val="0"/>
      <w:marRight w:val="0"/>
      <w:marTop w:val="0"/>
      <w:marBottom w:val="0"/>
      <w:divBdr>
        <w:top w:val="none" w:sz="0" w:space="0" w:color="auto"/>
        <w:left w:val="none" w:sz="0" w:space="0" w:color="auto"/>
        <w:bottom w:val="none" w:sz="0" w:space="0" w:color="auto"/>
        <w:right w:val="none" w:sz="0" w:space="0" w:color="auto"/>
      </w:divBdr>
      <w:divsChild>
        <w:div w:id="336464604">
          <w:marLeft w:val="0"/>
          <w:marRight w:val="0"/>
          <w:marTop w:val="0"/>
          <w:marBottom w:val="0"/>
          <w:divBdr>
            <w:top w:val="none" w:sz="0" w:space="0" w:color="auto"/>
            <w:left w:val="none" w:sz="0" w:space="0" w:color="auto"/>
            <w:bottom w:val="none" w:sz="0" w:space="0" w:color="auto"/>
            <w:right w:val="none" w:sz="0" w:space="0" w:color="auto"/>
          </w:divBdr>
          <w:divsChild>
            <w:div w:id="1900436130">
              <w:marLeft w:val="0"/>
              <w:marRight w:val="0"/>
              <w:marTop w:val="0"/>
              <w:marBottom w:val="0"/>
              <w:divBdr>
                <w:top w:val="none" w:sz="0" w:space="0" w:color="auto"/>
                <w:left w:val="none" w:sz="0" w:space="0" w:color="auto"/>
                <w:bottom w:val="none" w:sz="0" w:space="0" w:color="auto"/>
                <w:right w:val="none" w:sz="0" w:space="0" w:color="auto"/>
              </w:divBdr>
              <w:divsChild>
                <w:div w:id="195077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147744">
      <w:bodyDiv w:val="1"/>
      <w:marLeft w:val="0"/>
      <w:marRight w:val="0"/>
      <w:marTop w:val="0"/>
      <w:marBottom w:val="0"/>
      <w:divBdr>
        <w:top w:val="none" w:sz="0" w:space="0" w:color="auto"/>
        <w:left w:val="none" w:sz="0" w:space="0" w:color="auto"/>
        <w:bottom w:val="none" w:sz="0" w:space="0" w:color="auto"/>
        <w:right w:val="none" w:sz="0" w:space="0" w:color="auto"/>
      </w:divBdr>
    </w:div>
    <w:div w:id="621500171">
      <w:bodyDiv w:val="1"/>
      <w:marLeft w:val="0"/>
      <w:marRight w:val="0"/>
      <w:marTop w:val="0"/>
      <w:marBottom w:val="0"/>
      <w:divBdr>
        <w:top w:val="none" w:sz="0" w:space="0" w:color="auto"/>
        <w:left w:val="none" w:sz="0" w:space="0" w:color="auto"/>
        <w:bottom w:val="none" w:sz="0" w:space="0" w:color="auto"/>
        <w:right w:val="none" w:sz="0" w:space="0" w:color="auto"/>
      </w:divBdr>
    </w:div>
    <w:div w:id="659238936">
      <w:bodyDiv w:val="1"/>
      <w:marLeft w:val="0"/>
      <w:marRight w:val="0"/>
      <w:marTop w:val="0"/>
      <w:marBottom w:val="0"/>
      <w:divBdr>
        <w:top w:val="none" w:sz="0" w:space="0" w:color="auto"/>
        <w:left w:val="none" w:sz="0" w:space="0" w:color="auto"/>
        <w:bottom w:val="none" w:sz="0" w:space="0" w:color="auto"/>
        <w:right w:val="none" w:sz="0" w:space="0" w:color="auto"/>
      </w:divBdr>
    </w:div>
    <w:div w:id="697245358">
      <w:bodyDiv w:val="1"/>
      <w:marLeft w:val="0"/>
      <w:marRight w:val="0"/>
      <w:marTop w:val="0"/>
      <w:marBottom w:val="0"/>
      <w:divBdr>
        <w:top w:val="none" w:sz="0" w:space="0" w:color="auto"/>
        <w:left w:val="none" w:sz="0" w:space="0" w:color="auto"/>
        <w:bottom w:val="none" w:sz="0" w:space="0" w:color="auto"/>
        <w:right w:val="none" w:sz="0" w:space="0" w:color="auto"/>
      </w:divBdr>
    </w:div>
    <w:div w:id="746028559">
      <w:bodyDiv w:val="1"/>
      <w:marLeft w:val="0"/>
      <w:marRight w:val="0"/>
      <w:marTop w:val="0"/>
      <w:marBottom w:val="0"/>
      <w:divBdr>
        <w:top w:val="none" w:sz="0" w:space="0" w:color="auto"/>
        <w:left w:val="none" w:sz="0" w:space="0" w:color="auto"/>
        <w:bottom w:val="none" w:sz="0" w:space="0" w:color="auto"/>
        <w:right w:val="none" w:sz="0" w:space="0" w:color="auto"/>
      </w:divBdr>
    </w:div>
    <w:div w:id="754285321">
      <w:bodyDiv w:val="1"/>
      <w:marLeft w:val="0"/>
      <w:marRight w:val="0"/>
      <w:marTop w:val="0"/>
      <w:marBottom w:val="0"/>
      <w:divBdr>
        <w:top w:val="none" w:sz="0" w:space="0" w:color="auto"/>
        <w:left w:val="none" w:sz="0" w:space="0" w:color="auto"/>
        <w:bottom w:val="none" w:sz="0" w:space="0" w:color="auto"/>
        <w:right w:val="none" w:sz="0" w:space="0" w:color="auto"/>
      </w:divBdr>
      <w:divsChild>
        <w:div w:id="461583415">
          <w:marLeft w:val="0"/>
          <w:marRight w:val="0"/>
          <w:marTop w:val="0"/>
          <w:marBottom w:val="0"/>
          <w:divBdr>
            <w:top w:val="none" w:sz="0" w:space="0" w:color="auto"/>
            <w:left w:val="none" w:sz="0" w:space="0" w:color="auto"/>
            <w:bottom w:val="none" w:sz="0" w:space="0" w:color="auto"/>
            <w:right w:val="none" w:sz="0" w:space="0" w:color="auto"/>
          </w:divBdr>
          <w:divsChild>
            <w:div w:id="375469477">
              <w:marLeft w:val="0"/>
              <w:marRight w:val="0"/>
              <w:marTop w:val="0"/>
              <w:marBottom w:val="0"/>
              <w:divBdr>
                <w:top w:val="none" w:sz="0" w:space="0" w:color="auto"/>
                <w:left w:val="none" w:sz="0" w:space="0" w:color="auto"/>
                <w:bottom w:val="none" w:sz="0" w:space="0" w:color="auto"/>
                <w:right w:val="none" w:sz="0" w:space="0" w:color="auto"/>
              </w:divBdr>
              <w:divsChild>
                <w:div w:id="110823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549576">
      <w:bodyDiv w:val="1"/>
      <w:marLeft w:val="0"/>
      <w:marRight w:val="0"/>
      <w:marTop w:val="0"/>
      <w:marBottom w:val="0"/>
      <w:divBdr>
        <w:top w:val="none" w:sz="0" w:space="0" w:color="auto"/>
        <w:left w:val="none" w:sz="0" w:space="0" w:color="auto"/>
        <w:bottom w:val="none" w:sz="0" w:space="0" w:color="auto"/>
        <w:right w:val="none" w:sz="0" w:space="0" w:color="auto"/>
      </w:divBdr>
    </w:div>
    <w:div w:id="950671575">
      <w:bodyDiv w:val="1"/>
      <w:marLeft w:val="0"/>
      <w:marRight w:val="0"/>
      <w:marTop w:val="0"/>
      <w:marBottom w:val="0"/>
      <w:divBdr>
        <w:top w:val="none" w:sz="0" w:space="0" w:color="auto"/>
        <w:left w:val="none" w:sz="0" w:space="0" w:color="auto"/>
        <w:bottom w:val="none" w:sz="0" w:space="0" w:color="auto"/>
        <w:right w:val="none" w:sz="0" w:space="0" w:color="auto"/>
      </w:divBdr>
      <w:divsChild>
        <w:div w:id="716705517">
          <w:marLeft w:val="0"/>
          <w:marRight w:val="0"/>
          <w:marTop w:val="0"/>
          <w:marBottom w:val="0"/>
          <w:divBdr>
            <w:top w:val="none" w:sz="0" w:space="0" w:color="auto"/>
            <w:left w:val="none" w:sz="0" w:space="0" w:color="auto"/>
            <w:bottom w:val="none" w:sz="0" w:space="0" w:color="auto"/>
            <w:right w:val="none" w:sz="0" w:space="0" w:color="auto"/>
          </w:divBdr>
        </w:div>
        <w:div w:id="1496414845">
          <w:marLeft w:val="0"/>
          <w:marRight w:val="0"/>
          <w:marTop w:val="0"/>
          <w:marBottom w:val="0"/>
          <w:divBdr>
            <w:top w:val="none" w:sz="0" w:space="0" w:color="auto"/>
            <w:left w:val="none" w:sz="0" w:space="0" w:color="auto"/>
            <w:bottom w:val="none" w:sz="0" w:space="0" w:color="auto"/>
            <w:right w:val="none" w:sz="0" w:space="0" w:color="auto"/>
          </w:divBdr>
        </w:div>
      </w:divsChild>
    </w:div>
    <w:div w:id="956259911">
      <w:bodyDiv w:val="1"/>
      <w:marLeft w:val="0"/>
      <w:marRight w:val="0"/>
      <w:marTop w:val="0"/>
      <w:marBottom w:val="0"/>
      <w:divBdr>
        <w:top w:val="none" w:sz="0" w:space="0" w:color="auto"/>
        <w:left w:val="none" w:sz="0" w:space="0" w:color="auto"/>
        <w:bottom w:val="none" w:sz="0" w:space="0" w:color="auto"/>
        <w:right w:val="none" w:sz="0" w:space="0" w:color="auto"/>
      </w:divBdr>
    </w:div>
    <w:div w:id="974680402">
      <w:bodyDiv w:val="1"/>
      <w:marLeft w:val="0"/>
      <w:marRight w:val="0"/>
      <w:marTop w:val="0"/>
      <w:marBottom w:val="0"/>
      <w:divBdr>
        <w:top w:val="none" w:sz="0" w:space="0" w:color="auto"/>
        <w:left w:val="none" w:sz="0" w:space="0" w:color="auto"/>
        <w:bottom w:val="none" w:sz="0" w:space="0" w:color="auto"/>
        <w:right w:val="none" w:sz="0" w:space="0" w:color="auto"/>
      </w:divBdr>
      <w:divsChild>
        <w:div w:id="116727508">
          <w:marLeft w:val="0"/>
          <w:marRight w:val="0"/>
          <w:marTop w:val="0"/>
          <w:marBottom w:val="0"/>
          <w:divBdr>
            <w:top w:val="none" w:sz="0" w:space="0" w:color="auto"/>
            <w:left w:val="none" w:sz="0" w:space="0" w:color="auto"/>
            <w:bottom w:val="none" w:sz="0" w:space="0" w:color="auto"/>
            <w:right w:val="none" w:sz="0" w:space="0" w:color="auto"/>
          </w:divBdr>
          <w:divsChild>
            <w:div w:id="2025278082">
              <w:marLeft w:val="0"/>
              <w:marRight w:val="0"/>
              <w:marTop w:val="0"/>
              <w:marBottom w:val="0"/>
              <w:divBdr>
                <w:top w:val="none" w:sz="0" w:space="0" w:color="auto"/>
                <w:left w:val="none" w:sz="0" w:space="0" w:color="auto"/>
                <w:bottom w:val="none" w:sz="0" w:space="0" w:color="auto"/>
                <w:right w:val="none" w:sz="0" w:space="0" w:color="auto"/>
              </w:divBdr>
              <w:divsChild>
                <w:div w:id="89839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413887">
      <w:bodyDiv w:val="1"/>
      <w:marLeft w:val="0"/>
      <w:marRight w:val="0"/>
      <w:marTop w:val="0"/>
      <w:marBottom w:val="0"/>
      <w:divBdr>
        <w:top w:val="none" w:sz="0" w:space="0" w:color="auto"/>
        <w:left w:val="none" w:sz="0" w:space="0" w:color="auto"/>
        <w:bottom w:val="none" w:sz="0" w:space="0" w:color="auto"/>
        <w:right w:val="none" w:sz="0" w:space="0" w:color="auto"/>
      </w:divBdr>
      <w:divsChild>
        <w:div w:id="54427078">
          <w:marLeft w:val="0"/>
          <w:marRight w:val="0"/>
          <w:marTop w:val="0"/>
          <w:marBottom w:val="0"/>
          <w:divBdr>
            <w:top w:val="none" w:sz="0" w:space="0" w:color="auto"/>
            <w:left w:val="none" w:sz="0" w:space="0" w:color="auto"/>
            <w:bottom w:val="none" w:sz="0" w:space="0" w:color="auto"/>
            <w:right w:val="none" w:sz="0" w:space="0" w:color="auto"/>
          </w:divBdr>
          <w:divsChild>
            <w:div w:id="1355693868">
              <w:marLeft w:val="0"/>
              <w:marRight w:val="0"/>
              <w:marTop w:val="0"/>
              <w:marBottom w:val="0"/>
              <w:divBdr>
                <w:top w:val="none" w:sz="0" w:space="0" w:color="auto"/>
                <w:left w:val="none" w:sz="0" w:space="0" w:color="auto"/>
                <w:bottom w:val="none" w:sz="0" w:space="0" w:color="auto"/>
                <w:right w:val="none" w:sz="0" w:space="0" w:color="auto"/>
              </w:divBdr>
              <w:divsChild>
                <w:div w:id="82971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122234">
      <w:bodyDiv w:val="1"/>
      <w:marLeft w:val="0"/>
      <w:marRight w:val="0"/>
      <w:marTop w:val="0"/>
      <w:marBottom w:val="0"/>
      <w:divBdr>
        <w:top w:val="none" w:sz="0" w:space="0" w:color="auto"/>
        <w:left w:val="none" w:sz="0" w:space="0" w:color="auto"/>
        <w:bottom w:val="none" w:sz="0" w:space="0" w:color="auto"/>
        <w:right w:val="none" w:sz="0" w:space="0" w:color="auto"/>
      </w:divBdr>
    </w:div>
    <w:div w:id="1079863743">
      <w:bodyDiv w:val="1"/>
      <w:marLeft w:val="0"/>
      <w:marRight w:val="0"/>
      <w:marTop w:val="0"/>
      <w:marBottom w:val="0"/>
      <w:divBdr>
        <w:top w:val="none" w:sz="0" w:space="0" w:color="auto"/>
        <w:left w:val="none" w:sz="0" w:space="0" w:color="auto"/>
        <w:bottom w:val="none" w:sz="0" w:space="0" w:color="auto"/>
        <w:right w:val="none" w:sz="0" w:space="0" w:color="auto"/>
      </w:divBdr>
    </w:div>
    <w:div w:id="1081677575">
      <w:bodyDiv w:val="1"/>
      <w:marLeft w:val="0"/>
      <w:marRight w:val="0"/>
      <w:marTop w:val="0"/>
      <w:marBottom w:val="0"/>
      <w:divBdr>
        <w:top w:val="none" w:sz="0" w:space="0" w:color="auto"/>
        <w:left w:val="none" w:sz="0" w:space="0" w:color="auto"/>
        <w:bottom w:val="none" w:sz="0" w:space="0" w:color="auto"/>
        <w:right w:val="none" w:sz="0" w:space="0" w:color="auto"/>
      </w:divBdr>
    </w:div>
    <w:div w:id="1274509725">
      <w:bodyDiv w:val="1"/>
      <w:marLeft w:val="0"/>
      <w:marRight w:val="0"/>
      <w:marTop w:val="0"/>
      <w:marBottom w:val="0"/>
      <w:divBdr>
        <w:top w:val="none" w:sz="0" w:space="0" w:color="auto"/>
        <w:left w:val="none" w:sz="0" w:space="0" w:color="auto"/>
        <w:bottom w:val="none" w:sz="0" w:space="0" w:color="auto"/>
        <w:right w:val="none" w:sz="0" w:space="0" w:color="auto"/>
      </w:divBdr>
    </w:div>
    <w:div w:id="1365597200">
      <w:bodyDiv w:val="1"/>
      <w:marLeft w:val="0"/>
      <w:marRight w:val="0"/>
      <w:marTop w:val="0"/>
      <w:marBottom w:val="0"/>
      <w:divBdr>
        <w:top w:val="none" w:sz="0" w:space="0" w:color="auto"/>
        <w:left w:val="none" w:sz="0" w:space="0" w:color="auto"/>
        <w:bottom w:val="none" w:sz="0" w:space="0" w:color="auto"/>
        <w:right w:val="none" w:sz="0" w:space="0" w:color="auto"/>
      </w:divBdr>
    </w:div>
    <w:div w:id="1405879439">
      <w:bodyDiv w:val="1"/>
      <w:marLeft w:val="0"/>
      <w:marRight w:val="0"/>
      <w:marTop w:val="0"/>
      <w:marBottom w:val="0"/>
      <w:divBdr>
        <w:top w:val="none" w:sz="0" w:space="0" w:color="auto"/>
        <w:left w:val="none" w:sz="0" w:space="0" w:color="auto"/>
        <w:bottom w:val="none" w:sz="0" w:space="0" w:color="auto"/>
        <w:right w:val="none" w:sz="0" w:space="0" w:color="auto"/>
      </w:divBdr>
    </w:div>
    <w:div w:id="1422407275">
      <w:bodyDiv w:val="1"/>
      <w:marLeft w:val="0"/>
      <w:marRight w:val="0"/>
      <w:marTop w:val="0"/>
      <w:marBottom w:val="0"/>
      <w:divBdr>
        <w:top w:val="none" w:sz="0" w:space="0" w:color="auto"/>
        <w:left w:val="none" w:sz="0" w:space="0" w:color="auto"/>
        <w:bottom w:val="none" w:sz="0" w:space="0" w:color="auto"/>
        <w:right w:val="none" w:sz="0" w:space="0" w:color="auto"/>
      </w:divBdr>
    </w:div>
    <w:div w:id="1430731549">
      <w:bodyDiv w:val="1"/>
      <w:marLeft w:val="0"/>
      <w:marRight w:val="0"/>
      <w:marTop w:val="0"/>
      <w:marBottom w:val="0"/>
      <w:divBdr>
        <w:top w:val="none" w:sz="0" w:space="0" w:color="auto"/>
        <w:left w:val="none" w:sz="0" w:space="0" w:color="auto"/>
        <w:bottom w:val="none" w:sz="0" w:space="0" w:color="auto"/>
        <w:right w:val="none" w:sz="0" w:space="0" w:color="auto"/>
      </w:divBdr>
    </w:div>
    <w:div w:id="1438402607">
      <w:bodyDiv w:val="1"/>
      <w:marLeft w:val="0"/>
      <w:marRight w:val="0"/>
      <w:marTop w:val="0"/>
      <w:marBottom w:val="0"/>
      <w:divBdr>
        <w:top w:val="none" w:sz="0" w:space="0" w:color="auto"/>
        <w:left w:val="none" w:sz="0" w:space="0" w:color="auto"/>
        <w:bottom w:val="none" w:sz="0" w:space="0" w:color="auto"/>
        <w:right w:val="none" w:sz="0" w:space="0" w:color="auto"/>
      </w:divBdr>
      <w:divsChild>
        <w:div w:id="573706573">
          <w:marLeft w:val="0"/>
          <w:marRight w:val="0"/>
          <w:marTop w:val="0"/>
          <w:marBottom w:val="0"/>
          <w:divBdr>
            <w:top w:val="none" w:sz="0" w:space="0" w:color="auto"/>
            <w:left w:val="none" w:sz="0" w:space="0" w:color="auto"/>
            <w:bottom w:val="none" w:sz="0" w:space="0" w:color="auto"/>
            <w:right w:val="none" w:sz="0" w:space="0" w:color="auto"/>
          </w:divBdr>
          <w:divsChild>
            <w:div w:id="1444836211">
              <w:marLeft w:val="0"/>
              <w:marRight w:val="0"/>
              <w:marTop w:val="0"/>
              <w:marBottom w:val="0"/>
              <w:divBdr>
                <w:top w:val="none" w:sz="0" w:space="0" w:color="auto"/>
                <w:left w:val="none" w:sz="0" w:space="0" w:color="auto"/>
                <w:bottom w:val="none" w:sz="0" w:space="0" w:color="auto"/>
                <w:right w:val="none" w:sz="0" w:space="0" w:color="auto"/>
              </w:divBdr>
              <w:divsChild>
                <w:div w:id="28921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437374">
      <w:bodyDiv w:val="1"/>
      <w:marLeft w:val="0"/>
      <w:marRight w:val="0"/>
      <w:marTop w:val="0"/>
      <w:marBottom w:val="0"/>
      <w:divBdr>
        <w:top w:val="none" w:sz="0" w:space="0" w:color="auto"/>
        <w:left w:val="none" w:sz="0" w:space="0" w:color="auto"/>
        <w:bottom w:val="none" w:sz="0" w:space="0" w:color="auto"/>
        <w:right w:val="none" w:sz="0" w:space="0" w:color="auto"/>
      </w:divBdr>
    </w:div>
    <w:div w:id="1518228881">
      <w:bodyDiv w:val="1"/>
      <w:marLeft w:val="0"/>
      <w:marRight w:val="0"/>
      <w:marTop w:val="0"/>
      <w:marBottom w:val="0"/>
      <w:divBdr>
        <w:top w:val="none" w:sz="0" w:space="0" w:color="auto"/>
        <w:left w:val="none" w:sz="0" w:space="0" w:color="auto"/>
        <w:bottom w:val="none" w:sz="0" w:space="0" w:color="auto"/>
        <w:right w:val="none" w:sz="0" w:space="0" w:color="auto"/>
      </w:divBdr>
      <w:divsChild>
        <w:div w:id="542861602">
          <w:marLeft w:val="0"/>
          <w:marRight w:val="0"/>
          <w:marTop w:val="0"/>
          <w:marBottom w:val="0"/>
          <w:divBdr>
            <w:top w:val="none" w:sz="0" w:space="0" w:color="auto"/>
            <w:left w:val="none" w:sz="0" w:space="0" w:color="auto"/>
            <w:bottom w:val="none" w:sz="0" w:space="0" w:color="auto"/>
            <w:right w:val="none" w:sz="0" w:space="0" w:color="auto"/>
          </w:divBdr>
          <w:divsChild>
            <w:div w:id="815495541">
              <w:marLeft w:val="0"/>
              <w:marRight w:val="0"/>
              <w:marTop w:val="0"/>
              <w:marBottom w:val="0"/>
              <w:divBdr>
                <w:top w:val="none" w:sz="0" w:space="0" w:color="auto"/>
                <w:left w:val="none" w:sz="0" w:space="0" w:color="auto"/>
                <w:bottom w:val="none" w:sz="0" w:space="0" w:color="auto"/>
                <w:right w:val="none" w:sz="0" w:space="0" w:color="auto"/>
              </w:divBdr>
              <w:divsChild>
                <w:div w:id="101280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02804">
      <w:bodyDiv w:val="1"/>
      <w:marLeft w:val="0"/>
      <w:marRight w:val="0"/>
      <w:marTop w:val="0"/>
      <w:marBottom w:val="0"/>
      <w:divBdr>
        <w:top w:val="none" w:sz="0" w:space="0" w:color="auto"/>
        <w:left w:val="none" w:sz="0" w:space="0" w:color="auto"/>
        <w:bottom w:val="none" w:sz="0" w:space="0" w:color="auto"/>
        <w:right w:val="none" w:sz="0" w:space="0" w:color="auto"/>
      </w:divBdr>
    </w:div>
    <w:div w:id="1554735186">
      <w:bodyDiv w:val="1"/>
      <w:marLeft w:val="0"/>
      <w:marRight w:val="0"/>
      <w:marTop w:val="0"/>
      <w:marBottom w:val="0"/>
      <w:divBdr>
        <w:top w:val="none" w:sz="0" w:space="0" w:color="auto"/>
        <w:left w:val="none" w:sz="0" w:space="0" w:color="auto"/>
        <w:bottom w:val="none" w:sz="0" w:space="0" w:color="auto"/>
        <w:right w:val="none" w:sz="0" w:space="0" w:color="auto"/>
      </w:divBdr>
    </w:div>
    <w:div w:id="1560550175">
      <w:bodyDiv w:val="1"/>
      <w:marLeft w:val="0"/>
      <w:marRight w:val="0"/>
      <w:marTop w:val="0"/>
      <w:marBottom w:val="0"/>
      <w:divBdr>
        <w:top w:val="none" w:sz="0" w:space="0" w:color="auto"/>
        <w:left w:val="none" w:sz="0" w:space="0" w:color="auto"/>
        <w:bottom w:val="none" w:sz="0" w:space="0" w:color="auto"/>
        <w:right w:val="none" w:sz="0" w:space="0" w:color="auto"/>
      </w:divBdr>
    </w:div>
    <w:div w:id="1809975759">
      <w:bodyDiv w:val="1"/>
      <w:marLeft w:val="0"/>
      <w:marRight w:val="0"/>
      <w:marTop w:val="0"/>
      <w:marBottom w:val="0"/>
      <w:divBdr>
        <w:top w:val="none" w:sz="0" w:space="0" w:color="auto"/>
        <w:left w:val="none" w:sz="0" w:space="0" w:color="auto"/>
        <w:bottom w:val="none" w:sz="0" w:space="0" w:color="auto"/>
        <w:right w:val="none" w:sz="0" w:space="0" w:color="auto"/>
      </w:divBdr>
      <w:divsChild>
        <w:div w:id="1330402499">
          <w:marLeft w:val="0"/>
          <w:marRight w:val="0"/>
          <w:marTop w:val="0"/>
          <w:marBottom w:val="0"/>
          <w:divBdr>
            <w:top w:val="none" w:sz="0" w:space="0" w:color="auto"/>
            <w:left w:val="none" w:sz="0" w:space="0" w:color="auto"/>
            <w:bottom w:val="none" w:sz="0" w:space="0" w:color="auto"/>
            <w:right w:val="none" w:sz="0" w:space="0" w:color="auto"/>
          </w:divBdr>
          <w:divsChild>
            <w:div w:id="1947887298">
              <w:marLeft w:val="0"/>
              <w:marRight w:val="0"/>
              <w:marTop w:val="0"/>
              <w:marBottom w:val="0"/>
              <w:divBdr>
                <w:top w:val="none" w:sz="0" w:space="0" w:color="auto"/>
                <w:left w:val="none" w:sz="0" w:space="0" w:color="auto"/>
                <w:bottom w:val="none" w:sz="0" w:space="0" w:color="auto"/>
                <w:right w:val="none" w:sz="0" w:space="0" w:color="auto"/>
              </w:divBdr>
              <w:divsChild>
                <w:div w:id="121419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145622">
      <w:bodyDiv w:val="1"/>
      <w:marLeft w:val="0"/>
      <w:marRight w:val="0"/>
      <w:marTop w:val="0"/>
      <w:marBottom w:val="0"/>
      <w:divBdr>
        <w:top w:val="none" w:sz="0" w:space="0" w:color="auto"/>
        <w:left w:val="none" w:sz="0" w:space="0" w:color="auto"/>
        <w:bottom w:val="none" w:sz="0" w:space="0" w:color="auto"/>
        <w:right w:val="none" w:sz="0" w:space="0" w:color="auto"/>
      </w:divBdr>
      <w:divsChild>
        <w:div w:id="782380215">
          <w:marLeft w:val="0"/>
          <w:marRight w:val="0"/>
          <w:marTop w:val="0"/>
          <w:marBottom w:val="0"/>
          <w:divBdr>
            <w:top w:val="none" w:sz="0" w:space="0" w:color="auto"/>
            <w:left w:val="none" w:sz="0" w:space="0" w:color="auto"/>
            <w:bottom w:val="none" w:sz="0" w:space="0" w:color="auto"/>
            <w:right w:val="none" w:sz="0" w:space="0" w:color="auto"/>
          </w:divBdr>
          <w:divsChild>
            <w:div w:id="501748772">
              <w:marLeft w:val="0"/>
              <w:marRight w:val="0"/>
              <w:marTop w:val="0"/>
              <w:marBottom w:val="0"/>
              <w:divBdr>
                <w:top w:val="none" w:sz="0" w:space="0" w:color="auto"/>
                <w:left w:val="none" w:sz="0" w:space="0" w:color="auto"/>
                <w:bottom w:val="none" w:sz="0" w:space="0" w:color="auto"/>
                <w:right w:val="none" w:sz="0" w:space="0" w:color="auto"/>
              </w:divBdr>
              <w:divsChild>
                <w:div w:id="95198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418675">
      <w:bodyDiv w:val="1"/>
      <w:marLeft w:val="0"/>
      <w:marRight w:val="0"/>
      <w:marTop w:val="0"/>
      <w:marBottom w:val="0"/>
      <w:divBdr>
        <w:top w:val="none" w:sz="0" w:space="0" w:color="auto"/>
        <w:left w:val="none" w:sz="0" w:space="0" w:color="auto"/>
        <w:bottom w:val="none" w:sz="0" w:space="0" w:color="auto"/>
        <w:right w:val="none" w:sz="0" w:space="0" w:color="auto"/>
      </w:divBdr>
      <w:divsChild>
        <w:div w:id="228199374">
          <w:marLeft w:val="0"/>
          <w:marRight w:val="0"/>
          <w:marTop w:val="0"/>
          <w:marBottom w:val="0"/>
          <w:divBdr>
            <w:top w:val="none" w:sz="0" w:space="0" w:color="auto"/>
            <w:left w:val="none" w:sz="0" w:space="0" w:color="auto"/>
            <w:bottom w:val="none" w:sz="0" w:space="0" w:color="auto"/>
            <w:right w:val="none" w:sz="0" w:space="0" w:color="auto"/>
          </w:divBdr>
          <w:divsChild>
            <w:div w:id="1255361001">
              <w:marLeft w:val="0"/>
              <w:marRight w:val="0"/>
              <w:marTop w:val="0"/>
              <w:marBottom w:val="0"/>
              <w:divBdr>
                <w:top w:val="none" w:sz="0" w:space="0" w:color="auto"/>
                <w:left w:val="none" w:sz="0" w:space="0" w:color="auto"/>
                <w:bottom w:val="none" w:sz="0" w:space="0" w:color="auto"/>
                <w:right w:val="none" w:sz="0" w:space="0" w:color="auto"/>
              </w:divBdr>
              <w:divsChild>
                <w:div w:id="114940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001194">
      <w:bodyDiv w:val="1"/>
      <w:marLeft w:val="0"/>
      <w:marRight w:val="0"/>
      <w:marTop w:val="0"/>
      <w:marBottom w:val="0"/>
      <w:divBdr>
        <w:top w:val="none" w:sz="0" w:space="0" w:color="auto"/>
        <w:left w:val="none" w:sz="0" w:space="0" w:color="auto"/>
        <w:bottom w:val="none" w:sz="0" w:space="0" w:color="auto"/>
        <w:right w:val="none" w:sz="0" w:space="0" w:color="auto"/>
      </w:divBdr>
      <w:divsChild>
        <w:div w:id="1506939241">
          <w:marLeft w:val="0"/>
          <w:marRight w:val="0"/>
          <w:marTop w:val="0"/>
          <w:marBottom w:val="0"/>
          <w:divBdr>
            <w:top w:val="none" w:sz="0" w:space="0" w:color="auto"/>
            <w:left w:val="none" w:sz="0" w:space="0" w:color="auto"/>
            <w:bottom w:val="none" w:sz="0" w:space="0" w:color="auto"/>
            <w:right w:val="none" w:sz="0" w:space="0" w:color="auto"/>
          </w:divBdr>
          <w:divsChild>
            <w:div w:id="1219513819">
              <w:marLeft w:val="0"/>
              <w:marRight w:val="0"/>
              <w:marTop w:val="0"/>
              <w:marBottom w:val="0"/>
              <w:divBdr>
                <w:top w:val="none" w:sz="0" w:space="0" w:color="auto"/>
                <w:left w:val="none" w:sz="0" w:space="0" w:color="auto"/>
                <w:bottom w:val="none" w:sz="0" w:space="0" w:color="auto"/>
                <w:right w:val="none" w:sz="0" w:space="0" w:color="auto"/>
              </w:divBdr>
              <w:divsChild>
                <w:div w:id="172690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65245">
      <w:bodyDiv w:val="1"/>
      <w:marLeft w:val="0"/>
      <w:marRight w:val="0"/>
      <w:marTop w:val="0"/>
      <w:marBottom w:val="0"/>
      <w:divBdr>
        <w:top w:val="none" w:sz="0" w:space="0" w:color="auto"/>
        <w:left w:val="none" w:sz="0" w:space="0" w:color="auto"/>
        <w:bottom w:val="none" w:sz="0" w:space="0" w:color="auto"/>
        <w:right w:val="none" w:sz="0" w:space="0" w:color="auto"/>
      </w:divBdr>
    </w:div>
    <w:div w:id="1934167218">
      <w:bodyDiv w:val="1"/>
      <w:marLeft w:val="0"/>
      <w:marRight w:val="0"/>
      <w:marTop w:val="0"/>
      <w:marBottom w:val="0"/>
      <w:divBdr>
        <w:top w:val="none" w:sz="0" w:space="0" w:color="auto"/>
        <w:left w:val="none" w:sz="0" w:space="0" w:color="auto"/>
        <w:bottom w:val="none" w:sz="0" w:space="0" w:color="auto"/>
        <w:right w:val="none" w:sz="0" w:space="0" w:color="auto"/>
      </w:divBdr>
      <w:divsChild>
        <w:div w:id="175578349">
          <w:marLeft w:val="0"/>
          <w:marRight w:val="0"/>
          <w:marTop w:val="0"/>
          <w:marBottom w:val="0"/>
          <w:divBdr>
            <w:top w:val="none" w:sz="0" w:space="0" w:color="auto"/>
            <w:left w:val="none" w:sz="0" w:space="0" w:color="auto"/>
            <w:bottom w:val="none" w:sz="0" w:space="0" w:color="auto"/>
            <w:right w:val="none" w:sz="0" w:space="0" w:color="auto"/>
          </w:divBdr>
        </w:div>
        <w:div w:id="841353987">
          <w:marLeft w:val="0"/>
          <w:marRight w:val="0"/>
          <w:marTop w:val="0"/>
          <w:marBottom w:val="0"/>
          <w:divBdr>
            <w:top w:val="none" w:sz="0" w:space="0" w:color="auto"/>
            <w:left w:val="none" w:sz="0" w:space="0" w:color="auto"/>
            <w:bottom w:val="none" w:sz="0" w:space="0" w:color="auto"/>
            <w:right w:val="none" w:sz="0" w:space="0" w:color="auto"/>
          </w:divBdr>
        </w:div>
      </w:divsChild>
    </w:div>
    <w:div w:id="1969315303">
      <w:bodyDiv w:val="1"/>
      <w:marLeft w:val="0"/>
      <w:marRight w:val="0"/>
      <w:marTop w:val="0"/>
      <w:marBottom w:val="0"/>
      <w:divBdr>
        <w:top w:val="none" w:sz="0" w:space="0" w:color="auto"/>
        <w:left w:val="none" w:sz="0" w:space="0" w:color="auto"/>
        <w:bottom w:val="none" w:sz="0" w:space="0" w:color="auto"/>
        <w:right w:val="none" w:sz="0" w:space="0" w:color="auto"/>
      </w:divBdr>
      <w:divsChild>
        <w:div w:id="2012483154">
          <w:marLeft w:val="0"/>
          <w:marRight w:val="0"/>
          <w:marTop w:val="0"/>
          <w:marBottom w:val="0"/>
          <w:divBdr>
            <w:top w:val="none" w:sz="0" w:space="0" w:color="auto"/>
            <w:left w:val="none" w:sz="0" w:space="0" w:color="auto"/>
            <w:bottom w:val="none" w:sz="0" w:space="0" w:color="auto"/>
            <w:right w:val="none" w:sz="0" w:space="0" w:color="auto"/>
          </w:divBdr>
          <w:divsChild>
            <w:div w:id="1760297480">
              <w:marLeft w:val="0"/>
              <w:marRight w:val="0"/>
              <w:marTop w:val="0"/>
              <w:marBottom w:val="0"/>
              <w:divBdr>
                <w:top w:val="none" w:sz="0" w:space="0" w:color="auto"/>
                <w:left w:val="none" w:sz="0" w:space="0" w:color="auto"/>
                <w:bottom w:val="none" w:sz="0" w:space="0" w:color="auto"/>
                <w:right w:val="none" w:sz="0" w:space="0" w:color="auto"/>
              </w:divBdr>
              <w:divsChild>
                <w:div w:id="18036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099237">
      <w:bodyDiv w:val="1"/>
      <w:marLeft w:val="0"/>
      <w:marRight w:val="0"/>
      <w:marTop w:val="0"/>
      <w:marBottom w:val="0"/>
      <w:divBdr>
        <w:top w:val="none" w:sz="0" w:space="0" w:color="auto"/>
        <w:left w:val="none" w:sz="0" w:space="0" w:color="auto"/>
        <w:bottom w:val="none" w:sz="0" w:space="0" w:color="auto"/>
        <w:right w:val="none" w:sz="0" w:space="0" w:color="auto"/>
      </w:divBdr>
    </w:div>
    <w:div w:id="1979608820">
      <w:bodyDiv w:val="1"/>
      <w:marLeft w:val="0"/>
      <w:marRight w:val="0"/>
      <w:marTop w:val="0"/>
      <w:marBottom w:val="0"/>
      <w:divBdr>
        <w:top w:val="none" w:sz="0" w:space="0" w:color="auto"/>
        <w:left w:val="none" w:sz="0" w:space="0" w:color="auto"/>
        <w:bottom w:val="none" w:sz="0" w:space="0" w:color="auto"/>
        <w:right w:val="none" w:sz="0" w:space="0" w:color="auto"/>
      </w:divBdr>
    </w:div>
    <w:div w:id="1985768552">
      <w:bodyDiv w:val="1"/>
      <w:marLeft w:val="0"/>
      <w:marRight w:val="0"/>
      <w:marTop w:val="0"/>
      <w:marBottom w:val="0"/>
      <w:divBdr>
        <w:top w:val="none" w:sz="0" w:space="0" w:color="auto"/>
        <w:left w:val="none" w:sz="0" w:space="0" w:color="auto"/>
        <w:bottom w:val="none" w:sz="0" w:space="0" w:color="auto"/>
        <w:right w:val="none" w:sz="0" w:space="0" w:color="auto"/>
      </w:divBdr>
      <w:divsChild>
        <w:div w:id="454370139">
          <w:marLeft w:val="0"/>
          <w:marRight w:val="0"/>
          <w:marTop w:val="0"/>
          <w:marBottom w:val="0"/>
          <w:divBdr>
            <w:top w:val="none" w:sz="0" w:space="0" w:color="auto"/>
            <w:left w:val="none" w:sz="0" w:space="0" w:color="auto"/>
            <w:bottom w:val="none" w:sz="0" w:space="0" w:color="auto"/>
            <w:right w:val="none" w:sz="0" w:space="0" w:color="auto"/>
          </w:divBdr>
          <w:divsChild>
            <w:div w:id="1671105230">
              <w:marLeft w:val="0"/>
              <w:marRight w:val="0"/>
              <w:marTop w:val="0"/>
              <w:marBottom w:val="0"/>
              <w:divBdr>
                <w:top w:val="none" w:sz="0" w:space="0" w:color="auto"/>
                <w:left w:val="none" w:sz="0" w:space="0" w:color="auto"/>
                <w:bottom w:val="none" w:sz="0" w:space="0" w:color="auto"/>
                <w:right w:val="none" w:sz="0" w:space="0" w:color="auto"/>
              </w:divBdr>
              <w:divsChild>
                <w:div w:id="201576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999796">
      <w:bodyDiv w:val="1"/>
      <w:marLeft w:val="0"/>
      <w:marRight w:val="0"/>
      <w:marTop w:val="0"/>
      <w:marBottom w:val="0"/>
      <w:divBdr>
        <w:top w:val="none" w:sz="0" w:space="0" w:color="auto"/>
        <w:left w:val="none" w:sz="0" w:space="0" w:color="auto"/>
        <w:bottom w:val="none" w:sz="0" w:space="0" w:color="auto"/>
        <w:right w:val="none" w:sz="0" w:space="0" w:color="auto"/>
      </w:divBdr>
    </w:div>
    <w:div w:id="2005426480">
      <w:bodyDiv w:val="1"/>
      <w:marLeft w:val="0"/>
      <w:marRight w:val="0"/>
      <w:marTop w:val="0"/>
      <w:marBottom w:val="0"/>
      <w:divBdr>
        <w:top w:val="none" w:sz="0" w:space="0" w:color="auto"/>
        <w:left w:val="none" w:sz="0" w:space="0" w:color="auto"/>
        <w:bottom w:val="none" w:sz="0" w:space="0" w:color="auto"/>
        <w:right w:val="none" w:sz="0" w:space="0" w:color="auto"/>
      </w:divBdr>
      <w:divsChild>
        <w:div w:id="1719013650">
          <w:marLeft w:val="0"/>
          <w:marRight w:val="0"/>
          <w:marTop w:val="0"/>
          <w:marBottom w:val="0"/>
          <w:divBdr>
            <w:top w:val="none" w:sz="0" w:space="0" w:color="auto"/>
            <w:left w:val="none" w:sz="0" w:space="0" w:color="auto"/>
            <w:bottom w:val="none" w:sz="0" w:space="0" w:color="auto"/>
            <w:right w:val="none" w:sz="0" w:space="0" w:color="auto"/>
          </w:divBdr>
          <w:divsChild>
            <w:div w:id="651297628">
              <w:marLeft w:val="0"/>
              <w:marRight w:val="0"/>
              <w:marTop w:val="0"/>
              <w:marBottom w:val="0"/>
              <w:divBdr>
                <w:top w:val="none" w:sz="0" w:space="0" w:color="auto"/>
                <w:left w:val="none" w:sz="0" w:space="0" w:color="auto"/>
                <w:bottom w:val="none" w:sz="0" w:space="0" w:color="auto"/>
                <w:right w:val="none" w:sz="0" w:space="0" w:color="auto"/>
              </w:divBdr>
              <w:divsChild>
                <w:div w:id="54926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fink\Downloads\1-001-ANS-0000-EES-TE-0002_5.0.dotx" TargetMode="External"/></Relationships>
</file>

<file path=word/theme/theme1.xml><?xml version="1.0" encoding="utf-8"?>
<a:theme xmlns:a="http://schemas.openxmlformats.org/drawingml/2006/main" name="Office Theme">
  <a:themeElements>
    <a:clrScheme name="WVT">
      <a:dk1>
        <a:sysClr val="windowText" lastClr="000000"/>
      </a:dk1>
      <a:lt1>
        <a:sysClr val="window" lastClr="FFFFFF"/>
      </a:lt1>
      <a:dk2>
        <a:srgbClr val="000000"/>
      </a:dk2>
      <a:lt2>
        <a:srgbClr val="FFFFFF"/>
      </a:lt2>
      <a:accent1>
        <a:srgbClr val="2C4BA0"/>
      </a:accent1>
      <a:accent2>
        <a:srgbClr val="6D6868"/>
      </a:accent2>
      <a:accent3>
        <a:srgbClr val="F1F2F2"/>
      </a:accent3>
      <a:accent4>
        <a:srgbClr val="2C4BA0"/>
      </a:accent4>
      <a:accent5>
        <a:srgbClr val="6D6868"/>
      </a:accent5>
      <a:accent6>
        <a:srgbClr val="6F7072"/>
      </a:accent6>
      <a:hlink>
        <a:srgbClr val="000000"/>
      </a:hlink>
      <a:folHlink>
        <a:srgbClr val="000000"/>
      </a:folHlink>
    </a:clrScheme>
    <a:fontScheme name="WVT">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5ED685A0F6704EAD340BB34367538A" ma:contentTypeVersion="21" ma:contentTypeDescription="Create a new document." ma:contentTypeScope="" ma:versionID="e7320b38ff14dd41b629fcc76c4a8d15">
  <xsd:schema xmlns:xsd="http://www.w3.org/2001/XMLSchema" xmlns:xs="http://www.w3.org/2001/XMLSchema" xmlns:p="http://schemas.microsoft.com/office/2006/metadata/properties" xmlns:ns2="7e6efeb2-6871-4338-8041-a3189fc08d76" xmlns:ns3="fb1c2c90-7ebb-4f49-9b69-8e3e86b86080" xmlns:ns4="fe36b737-7a15-45c9-aa55-60b829812b9c" targetNamespace="http://schemas.microsoft.com/office/2006/metadata/properties" ma:root="true" ma:fieldsID="d751fa385f2286886282ee15bdcd0736" ns2:_="" ns3:_="" ns4:_="">
    <xsd:import namespace="7e6efeb2-6871-4338-8041-a3189fc08d76"/>
    <xsd:import namespace="fb1c2c90-7ebb-4f49-9b69-8e3e86b86080"/>
    <xsd:import namespace="fe36b737-7a15-45c9-aa55-60b829812b9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LengthInSeconds" minOccurs="0"/>
                <xsd:element ref="ns2:MediaServiceSearchProperties" minOccurs="0"/>
                <xsd:element ref="ns2:Order0" minOccurs="0"/>
                <xsd:element ref="ns2:No_x002e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6efeb2-6871-4338-8041-a3189fc08d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9e67b6b-74cb-4963-8df3-8bbebf53230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Order0" ma:index="25" nillable="true" ma:displayName="Order" ma:format="Dropdown" ma:internalName="Order0" ma:percentage="FALSE">
      <xsd:simpleType>
        <xsd:restriction base="dms:Number"/>
      </xsd:simpleType>
    </xsd:element>
    <xsd:element name="No_x002e_" ma:index="26" nillable="true" ma:displayName="No." ma:format="Dropdown" ma:internalName="No_x002e_" ma:percentage="FALSE">
      <xsd:simpleType>
        <xsd:restriction base="dms:Number"/>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1c2c90-7ebb-4f49-9b69-8e3e86b8608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36b737-7a15-45c9-aa55-60b829812b9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36fae44e-9720-4319-a2f1-ed929039a556}" ma:internalName="TaxCatchAll" ma:showField="CatchAllData" ma:web="fb1c2c90-7ebb-4f49-9b69-8e3e86b86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e36b737-7a15-45c9-aa55-60b829812b9c" xsi:nil="true"/>
    <lcf76f155ced4ddcb4097134ff3c332f xmlns="7e6efeb2-6871-4338-8041-a3189fc08d76">
      <Terms xmlns="http://schemas.microsoft.com/office/infopath/2007/PartnerControls"/>
    </lcf76f155ced4ddcb4097134ff3c332f>
    <No_x002e_ xmlns="7e6efeb2-6871-4338-8041-a3189fc08d76" xsi:nil="true"/>
    <Order0 xmlns="7e6efeb2-6871-4338-8041-a3189fc08d7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FEFE6D-13E4-485F-A226-8BAA2EE0DE69}">
  <ds:schemaRefs>
    <ds:schemaRef ds:uri="http://schemas.microsoft.com/sharepoint/v3/contenttype/forms"/>
  </ds:schemaRefs>
</ds:datastoreItem>
</file>

<file path=customXml/itemProps2.xml><?xml version="1.0" encoding="utf-8"?>
<ds:datastoreItem xmlns:ds="http://schemas.openxmlformats.org/officeDocument/2006/customXml" ds:itemID="{FCAF09AA-D0AD-49C2-9520-173D0042A1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6efeb2-6871-4338-8041-a3189fc08d76"/>
    <ds:schemaRef ds:uri="fb1c2c90-7ebb-4f49-9b69-8e3e86b86080"/>
    <ds:schemaRef ds:uri="fe36b737-7a15-45c9-aa55-60b829812b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50500D-AC8B-4F82-BC19-375FF5C2BC83}">
  <ds:schemaRefs>
    <ds:schemaRef ds:uri="http://schemas.microsoft.com/office/2006/metadata/properties"/>
    <ds:schemaRef ds:uri="http://schemas.microsoft.com/office/infopath/2007/PartnerControls"/>
    <ds:schemaRef ds:uri="fe36b737-7a15-45c9-aa55-60b829812b9c"/>
    <ds:schemaRef ds:uri="7e6efeb2-6871-4338-8041-a3189fc08d76"/>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Metadata/LabelInfo.xml><?xml version="1.0" encoding="utf-8"?>
<clbl:labelList xmlns:clbl="http://schemas.microsoft.com/office/2020/mipLabelMetadata">
  <clbl:label id="{25a695a3-ddbc-4fff-bbf7-686c31f786d3}" enabled="1" method="Privileged" siteId="{a394e41c-cf8d-458e-ac1b-ddae1aa15629}" contentBits="2" removed="0"/>
</clbl:labelList>
</file>

<file path=docProps/app.xml><?xml version="1.0" encoding="utf-8"?>
<Properties xmlns="http://schemas.openxmlformats.org/officeDocument/2006/extended-properties" xmlns:vt="http://schemas.openxmlformats.org/officeDocument/2006/docPropsVTypes">
  <Template>1-001-ANS-0000-EES-TE-0002_5.0</Template>
  <TotalTime>0</TotalTime>
  <Pages>26</Pages>
  <Words>9071</Words>
  <Characters>51705</Characters>
  <Application>Microsoft Office Word</Application>
  <DocSecurity>8</DocSecurity>
  <Lines>430</Lines>
  <Paragraphs>121</Paragraphs>
  <ScaleCrop>false</ScaleCrop>
  <HeadingPairs>
    <vt:vector size="2" baseType="variant">
      <vt:variant>
        <vt:lpstr>Title</vt:lpstr>
      </vt:variant>
      <vt:variant>
        <vt:i4>1</vt:i4>
      </vt:variant>
    </vt:vector>
  </HeadingPairs>
  <TitlesOfParts>
    <vt:vector size="1" baseType="lpstr">
      <vt:lpstr>Chapter 4: EES assessment framework and approach</vt:lpstr>
    </vt:vector>
  </TitlesOfParts>
  <Company/>
  <LinksUpToDate>false</LinksUpToDate>
  <CharactersWithSpaces>60655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4: EES assessment framework and approach</dc:title>
  <dc:subject/>
  <cp:keywords/>
  <dc:description/>
  <cp:lastPrinted>2025-03-03T09:48:00Z</cp:lastPrinted>
  <dcterms:created xsi:type="dcterms:W3CDTF">2025-06-19T01:05:00Z</dcterms:created>
  <dcterms:modified xsi:type="dcterms:W3CDTF">2025-06-19T01:05:00Z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158b1204,688a1f2d,63cd032,117a951c,442ce483,77047d1c,79b44aea,1dd33681,783d08d,66f4fcee,4062e4d7,7378ee2,211a59a9,6e7ac016,75d96579,41ae603a,6cbc417a,3b87aab1,9a46f22,2ab64714,5aebeffb</vt:lpwstr>
  </property>
  <property fmtid="{D5CDD505-2E9C-101B-9397-08002B2CF9AE}" pid="3" name="ClassificationContentMarkingFooterFontProps">
    <vt:lpwstr>#7f7f7f,7,Century Gothic</vt:lpwstr>
  </property>
  <property fmtid="{D5CDD505-2E9C-101B-9397-08002B2CF9AE}" pid="4" name="ClassificationContentMarkingFooterText">
    <vt:lpwstr>PUBLIC</vt:lpwstr>
  </property>
  <property fmtid="{D5CDD505-2E9C-101B-9397-08002B2CF9AE}" pid="5" name="ContentTypeId">
    <vt:lpwstr>0x010100625ED685A0F6704EAD340BB34367538A</vt:lpwstr>
  </property>
  <property fmtid="{D5CDD505-2E9C-101B-9397-08002B2CF9AE}" pid="6" name="MediaServiceImageTags">
    <vt:lpwstr/>
  </property>
  <property fmtid="{D5CDD505-2E9C-101B-9397-08002B2CF9AE}" pid="7" name="MSIP_Label_fbc029f1-7b6e-4e10-8282-fc5331153e31_Enabled">
    <vt:lpwstr>true</vt:lpwstr>
  </property>
  <property fmtid="{D5CDD505-2E9C-101B-9397-08002B2CF9AE}" pid="8" name="MSIP_Label_fbc029f1-7b6e-4e10-8282-fc5331153e31_SetDate">
    <vt:lpwstr>2024-10-07T02:52:11Z</vt:lpwstr>
  </property>
  <property fmtid="{D5CDD505-2E9C-101B-9397-08002B2CF9AE}" pid="9" name="MSIP_Label_fbc029f1-7b6e-4e10-8282-fc5331153e31_Method">
    <vt:lpwstr>Privileged</vt:lpwstr>
  </property>
  <property fmtid="{D5CDD505-2E9C-101B-9397-08002B2CF9AE}" pid="10" name="MSIP_Label_fbc029f1-7b6e-4e10-8282-fc5331153e31_Name">
    <vt:lpwstr>fbc029f1-7b6e-4e10-8282-fc5331153e31</vt:lpwstr>
  </property>
  <property fmtid="{D5CDD505-2E9C-101B-9397-08002B2CF9AE}" pid="11" name="MSIP_Label_fbc029f1-7b6e-4e10-8282-fc5331153e31_SiteId">
    <vt:lpwstr>37247798-f42c-42fd-8a37-d49c7128d36b</vt:lpwstr>
  </property>
  <property fmtid="{D5CDD505-2E9C-101B-9397-08002B2CF9AE}" pid="12" name="MSIP_Label_fbc029f1-7b6e-4e10-8282-fc5331153e31_ActionId">
    <vt:lpwstr>2430930d-7b49-42c0-be24-45fd8723ad50</vt:lpwstr>
  </property>
  <property fmtid="{D5CDD505-2E9C-101B-9397-08002B2CF9AE}" pid="13" name="MSIP_Label_fbc029f1-7b6e-4e10-8282-fc5331153e31_ContentBits">
    <vt:lpwstr>0</vt:lpwstr>
  </property>
</Properties>
</file>